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UNITED STATES</w:t>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SECURITIES AND EXCHANGE COMMISSION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 xml:space="preserve">FORM 10-Q </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(Mark One)</w:t>
      </w:r>
    </w:p>
    <w:p>
      <w:pPr>
        <w:pStyle w:val="TextBody"/>
        <w:bidi w:val="0"/>
        <w:spacing w:lineRule="auto" w:line="288" w:before="0" w:after="0"/>
        <w:jc w:val="left"/>
        <w:rPr/>
      </w:pPr>
      <w:r>
        <w:rPr>
          <w:color w:val="000000"/>
        </w:rPr>
        <w:t xml:space="preserve">☑ </w:t>
      </w:r>
      <w:r>
        <w:rPr>
          <w:rFonts w:ascii="Arial Narrow;sans-serif" w:hAnsi="Arial Narrow;sans-serif"/>
          <w:b/>
          <w:color w:val="000000"/>
          <w:sz w:val="20"/>
        </w:rPr>
        <w:t>QUARTERLY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quarterly period ended June 30, 2026</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OR</w:t>
      </w:r>
    </w:p>
    <w:p>
      <w:pPr>
        <w:pStyle w:val="TextBody"/>
        <w:bidi w:val="0"/>
        <w:spacing w:before="0" w:after="0"/>
        <w:jc w:val="center"/>
        <w:rPr/>
      </w:pPr>
      <w:r>
        <w:rPr/>
      </w:r>
    </w:p>
    <w:p>
      <w:pPr>
        <w:pStyle w:val="TextBody"/>
        <w:bidi w:val="0"/>
        <w:spacing w:lineRule="auto" w:line="288" w:before="0" w:after="0"/>
        <w:jc w:val="left"/>
        <w:rPr/>
      </w:pPr>
      <w:r>
        <w:rPr>
          <w:color w:val="000000"/>
        </w:rPr>
        <w:t xml:space="preserve">☐ </w:t>
      </w:r>
      <w:r>
        <w:rPr>
          <w:rFonts w:ascii="Arial Narrow;sans-serif" w:hAnsi="Arial Narrow;sans-serif"/>
          <w:b/>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transition period from ____________ to __________</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Commission File Number: 001-41711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USA Rare Earth, Inc.</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6200" w:type="dxa"/>
        <w:jc w:val="center"/>
        <w:tblInd w:w="0" w:type="dxa"/>
        <w:tblLayout w:type="fixed"/>
        <w:tblCellMar>
          <w:top w:w="28" w:type="dxa"/>
          <w:left w:w="28" w:type="dxa"/>
          <w:bottom w:w="28" w:type="dxa"/>
          <w:right w:w="28" w:type="dxa"/>
        </w:tblCellMar>
      </w:tblPr>
      <w:tblGrid>
        <w:gridCol w:w="124"/>
        <w:gridCol w:w="109"/>
        <w:gridCol w:w="109"/>
        <w:gridCol w:w="949"/>
        <w:gridCol w:w="949"/>
        <w:gridCol w:w="952"/>
        <w:gridCol w:w="109"/>
        <w:gridCol w:w="109"/>
        <w:gridCol w:w="109"/>
        <w:gridCol w:w="768"/>
        <w:gridCol w:w="768"/>
        <w:gridCol w:w="7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2"/>
              </w:rPr>
            </w:pPr>
            <w:r>
              <w:rPr>
                <w:rFonts w:ascii="Arial Narrow;sans-serif" w:hAnsi="Arial Narrow;sans-serif"/>
                <w:b/>
                <w:color w:val="000000"/>
                <w:sz w:val="22"/>
              </w:rPr>
              <w:t>98-1720278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100 W. Airport Road, Stillwater, OK 74075</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(813) 867-6155</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Securities registered pursuant to Section 12(b) of the Act:</w:t>
      </w:r>
    </w:p>
    <w:tbl>
      <w:tblPr>
        <w:tblW w:w="6142" w:type="dxa"/>
        <w:jc w:val="left"/>
        <w:tblInd w:w="0" w:type="dxa"/>
        <w:tblLayout w:type="fixed"/>
        <w:tblCellMar>
          <w:top w:w="28" w:type="dxa"/>
          <w:left w:w="28" w:type="dxa"/>
          <w:bottom w:w="28" w:type="dxa"/>
          <w:right w:w="28" w:type="dxa"/>
        </w:tblCellMar>
      </w:tblPr>
      <w:tblGrid>
        <w:gridCol w:w="828"/>
        <w:gridCol w:w="728"/>
        <w:gridCol w:w="739"/>
        <w:gridCol w:w="109"/>
        <w:gridCol w:w="109"/>
        <w:gridCol w:w="109"/>
        <w:gridCol w:w="294"/>
        <w:gridCol w:w="294"/>
        <w:gridCol w:w="296"/>
        <w:gridCol w:w="109"/>
        <w:gridCol w:w="109"/>
        <w:gridCol w:w="109"/>
        <w:gridCol w:w="673"/>
        <w:gridCol w:w="673"/>
        <w:gridCol w:w="963"/>
      </w:tblGrid>
      <w:tr>
        <w:trPr/>
        <w:tc>
          <w:tcPr>
            <w:tcW w:w="8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4"/>
              </w:rPr>
            </w:pPr>
            <w:r>
              <w:rPr>
                <w:rFonts w:ascii="Arial Narrow;sans-serif" w:hAnsi="Arial Narrow;sans-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4"/>
              </w:rPr>
            </w:pPr>
            <w:r>
              <w:rPr>
                <w:rFonts w:ascii="Arial Narrow;sans-serif" w:hAnsi="Arial Narrow;sans-serif"/>
                <w:b w:val="false"/>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4"/>
              </w:rPr>
            </w:pPr>
            <w:r>
              <w:rPr>
                <w:rFonts w:ascii="Arial Narrow;sans-serif" w:hAnsi="Arial Narrow;sans-serif"/>
                <w:b w:val="false"/>
                <w:color w:val="000000"/>
                <w:sz w:val="14"/>
              </w:rPr>
              <w:t>Name of each exchange on which registered</w:t>
            </w:r>
          </w:p>
        </w:tc>
      </w:tr>
      <w:tr>
        <w:trPr/>
        <w:tc>
          <w:tcPr>
            <w:tcW w:w="2295"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6"/>
              </w:rPr>
            </w:pPr>
            <w:r>
              <w:rPr>
                <w:rFonts w:ascii="Arial Narrow;sans-serif" w:hAnsi="Arial Narrow;sans-serif"/>
                <w:b w:val="false"/>
                <w:color w:val="000000"/>
                <w:sz w:val="16"/>
              </w:rPr>
              <w:t>Common Stock, par value $0.0001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USAR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2" w:space="0" w:color="000000"/>
            </w:tcBorders>
            <w:shd w:fill="BFE4FF" w:val="clear"/>
            <w:tcMar>
              <w:top w:w="3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120"/>
        <w:jc w:val="both"/>
        <w:rPr/>
      </w:pPr>
      <w:r>
        <w:rPr>
          <w:rFonts w:ascii="Arial Narrow;sans-serif" w:hAnsi="Arial Narrow;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 Narrow;sans-serif" w:hAnsi="Arial Narrow;sans-serif"/>
          <w:b w:val="false"/>
          <w:color w:val="000000"/>
          <w:sz w:val="18"/>
        </w:rPr>
        <w:t>No </w:t>
      </w:r>
      <w:r>
        <w:rPr>
          <w:color w:val="000000"/>
        </w:rPr>
        <w:t>☐</w:t>
      </w:r>
    </w:p>
    <w:p>
      <w:pPr>
        <w:pStyle w:val="TextBody"/>
        <w:bidi w:val="0"/>
        <w:spacing w:lineRule="auto" w:line="288" w:before="0" w:after="120"/>
        <w:jc w:val="both"/>
        <w:rPr/>
      </w:pPr>
      <w:r>
        <w:rPr>
          <w:rFonts w:ascii="Arial Narrow;sans-serif" w:hAnsi="Arial Narrow;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 Narrow;sans-serif" w:hAnsi="Arial Narrow;sans-serif"/>
          <w:b w:val="false"/>
          <w:color w:val="000000"/>
          <w:sz w:val="18"/>
        </w:rPr>
        <w:t>No </w:t>
      </w:r>
      <w:r>
        <w:rPr>
          <w:color w:val="000000"/>
        </w:rPr>
        <w:t>☐</w:t>
      </w:r>
    </w:p>
    <w:p>
      <w:pPr>
        <w:pStyle w:val="TextBody"/>
        <w:bidi w:val="0"/>
        <w:spacing w:lineRule="auto" w:line="288" w:before="0" w:after="120"/>
        <w:jc w:val="both"/>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25" w:type="dxa"/>
        <w:jc w:val="center"/>
        <w:tblInd w:w="0" w:type="dxa"/>
        <w:tblLayout w:type="fixed"/>
        <w:tblCellMar>
          <w:top w:w="28" w:type="dxa"/>
          <w:left w:w="28" w:type="dxa"/>
          <w:bottom w:w="28" w:type="dxa"/>
          <w:right w:w="28" w:type="dxa"/>
        </w:tblCellMar>
      </w:tblPr>
      <w:tblGrid>
        <w:gridCol w:w="634"/>
        <w:gridCol w:w="559"/>
        <w:gridCol w:w="561"/>
        <w:gridCol w:w="153"/>
        <w:gridCol w:w="153"/>
        <w:gridCol w:w="153"/>
        <w:gridCol w:w="153"/>
        <w:gridCol w:w="153"/>
        <w:gridCol w:w="153"/>
        <w:gridCol w:w="153"/>
        <w:gridCol w:w="153"/>
        <w:gridCol w:w="153"/>
        <w:gridCol w:w="496"/>
        <w:gridCol w:w="496"/>
        <w:gridCol w:w="702"/>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Large accelerated filer  ☐</w:t>
            </w:r>
          </w:p>
        </w:tc>
        <w:tc>
          <w:tcPr>
            <w:tcW w:w="13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Accelerated filer  ☐</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Non-accelerated filer  ☑</w:t>
            </w:r>
          </w:p>
        </w:tc>
      </w:tr>
      <w:tr>
        <w:trPr/>
        <w:tc>
          <w:tcPr>
            <w:tcW w:w="2213" w:type="dxa"/>
            <w:gridSpan w:val="6"/>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Smaller reporting company  ☑</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Emerging growth company  ☑</w:t>
            </w:r>
          </w:p>
        </w:tc>
      </w:tr>
    </w:tbl>
    <w:p>
      <w:pPr>
        <w:pStyle w:val="TextBody"/>
        <w:bidi w:val="0"/>
        <w:spacing w:lineRule="auto" w:line="288" w:before="0" w:after="120"/>
        <w:jc w:val="left"/>
        <w:rPr/>
      </w:pPr>
      <w:r>
        <w:rPr>
          <w:rFonts w:ascii="Arial Narrow;sans-serif" w:hAnsi="Arial Narrow;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left"/>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 shell company (as defined in Exchange Act Rule 12b-2).   Yes ☐  No ☑</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As of August 4, 2026, there were 244,720,099 shares of the registrant’s Common Stock outstanding, $0.0001 par value, and 1,224,351 shares of 12% Series A Cumulative Convertible Preferred Stock, $0.0001 par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73735"/>
                <wp:effectExtent l="0" t="0" r="0" b="0"/>
                <wp:wrapNone/>
                <wp:docPr id="2" name="Frame1"/>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including statements regarding our future results of operations or financial condition, business strategies, and expectations for our business and industry. Forward-looking statements are not guarantees of performance. Although we believe these forward-looking statements are reasonable when made, we cannot assure you that we will achieve or realize these plans or expectations. In some cases, you can identify forward-looking statements because they contain words such as “anticipate,” “believe,” “contemplate,” “continue,” “could,” “estimate,” “expect,” “forecast, ”“foreseeable,” “intend,” “likely,” “may,” “outlook,” “plan,” “potential,” “pursue,” “should,” “subject to,” “target,” “will” or “would” or the negative of these words or other similar terms or expressions. These forward-looking statements include, but are not limited to, statements concerning the following:</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proposed acquisition of Serra Verde Group (“Serra Verde” or “SVG”), the expected timing and completion of the SVG acquisition, the expected benefits of the acquisition including anticipated financial results and synergies, the integration of Serra Verde’s operations, projections regarding Serra Verde’s business and the combined company’s business, and the combined company’s ability to achieve positive cash flow;</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expected benefits from our transactions with Carester SAS (“Carester”) and Texas Mineral Resources Corp. (“TMRC”);</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development of our magnet production facility at Stillwater and our refined metals production facility at Blacksburg, South Carolina (the “Blacksburg Facility”), including the timing of expected production milestones and associated costs;</w:t>
      </w:r>
    </w:p>
    <w:p>
      <w:pPr>
        <w:pStyle w:val="TextBody"/>
        <w:bidi w:val="0"/>
        <w:spacing w:lineRule="auto" w:line="288" w:before="0" w:after="60"/>
        <w:ind w:left="0" w:right="0" w:hanging="360"/>
        <w:jc w:val="both"/>
        <w:rPr/>
      </w:pPr>
      <w:r>
        <w:rPr>
          <w:strike/>
          <w:color w:val="000000"/>
        </w:rPr>
        <w:t>•</w:t>
      </w:r>
      <w:r>
        <w:rPr>
          <w:rFonts w:ascii="Arial Narrow;sans-serif" w:hAnsi="Arial Narrow;sans-serif"/>
          <w:b w:val="false"/>
          <w:color w:val="000000"/>
          <w:sz w:val="20"/>
        </w:rPr>
        <w:t>the ability to realize the benefits expected from the acquisition of Less Common Metals Ltd. (the “LCM Acquisition”);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ability to satisfy the funding conditions of and to realize the anticipated benefits of the anticipated funding from the U.S. Department of Commerce;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demand for magnets from our production facility once it is operational;</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 xml:space="preserve">the opportunity, size and growth rates of the rare earth element (“REE”) market and market for related magnets; </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access to and ability to process raw materials for magnet production, including through swarf processing and development of the Round Top Project, which consists of our operations and rights related to Round Top Mountain and the Round Top Mountain heavy rare earth element (“HREE”) metals deposit, including operations at our Wheat Ridge hydrometallurgical demonstration facility (“Round Top Project,” and together with the Stillwater Facility and the Blacksburg Facility, our “Projects”);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development and results of the Round Top Project, including timing of key milestones and associated costs;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ability to raise financing in the future and to comply with restrictive covenants related to long-term indebtedness;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future financial performance of USA Rare Earth, Inc.;</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ability to retain or recruit key personnel;</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ability to comply with laws and regulations applicable to its business; and</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expansion plans and opportunities.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These forward-looking statements are based on information available as of the date of this Quarterly Report and our management team’s current expectations, forecasts and assumptions, and involve a number of judgments, known and unknown risks and uncertainties and other factors, many of which are outside our control. Accordingly, forward-looking statements should not be relied upon as representing our management team’s views as of any subsequent date.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materially differ include, but are not limited to the risks below, which also serve as a summary of the principal risks of an investment in our securities: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proposed transactions with Serra Verde and Carester may not be consummated on their anticipated timeline or at all, and failure to complete the transactions could adversely affect our business, financial condition, and results of operations.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may not realize the anticipated benefits of our proposed, current, and prior acquisitions and transactions, including transactions with Serra Verde, Carester and TMRC, including expected synergies, financial performance, estimated earnings before interest, taxes, depreciation and amortization (“EBITDA”) and, in the case of Serra Verde, integration of operations, on the anticipated timeline or at all.</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Following the consummation of the Serra Verde merger, we will be subject to political, economic, regulatory, tax, currency and other risks associated with Serra Verde’s operations in Brazil and Switzerland that could adversely affect the combined company’s business, results of operations and financial condition.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combined company after the Serra Verde merger will assume substantial indebtedness under Serra Verde’s Retained Finance Agreement with the DFC, which contains restrictive covenants and other requirements that could adversely affect the combined company’s financial flexibility and operations.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If the conditions precedent to the offtake agreement entered into in connection with the Serra Verde transaction are not satisfied or waived, or if the offtake agreement is terminated for any reason, Serra Verde may lose the significant commercial benefits provided by the offtake agreement and be forced to seek alternative buyers on less favorable terms, which could materially adversely affect our business, financial condition, results of operations and prospects.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issuance of shares of Common Stock in the merger and other contemplated issuances will dilute the voting power of our existing stockholders and their percentage interest in any future earnings of the Company.</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effectiveness of the planned CEO transition is contingent on the timely closing of the Serra Verde acquisition. Any delay or failure of this acquisition to close could result in leadership uncertainty and may require the Board to identify an alternative CEO successor.</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Our magnet manufacturing facility in Stillwater, Oklahoma (“Stillwater Facility”) has recently been commissioned and has commenced commercial production; however, we have not begun generating revenue from sintered neodymium-iron-boron (“NdFeB”) permanent magnets (also referred to as neo magnets), our planned Blacksburg Facility is in early-stage development, and we have a limited history in commercial magnet-making operations and the lack of commercial operations limits the accuracy of any forward-looking forecasts, prospects or business outlook or plans.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Round Top Project is at the exploration stage and we have not commenced construction or commission of the mine or related facilities, and the development of the Round Top Project into a producing mine is subject to a variety of risks which may cause the development of the Round Top Project into a producing mine to not occur, be delayed, or not result in the commercial extraction of minerals.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may experience time delays, unforeseen expenses, increased capital costs, and other complications in operating our business, which could delay the start of revenue-generating activities and increased revenues, and increase development costs. Until our Round Top Project is capable of satisfying our feedstock needs, if ever, our business is subject to the availability of rare earth oxide and metal feedstock, in quantities and prices that allow us to develop and commercially operate our Stillwater Facility.</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production of neo magnets and manufacturing of strip-cast and alloy are capital-intensive and require the commitment of substantial resources; if we do not have sufficient capital or other resources necessary to provide for such production and manufacturing, it could negatively impact our business.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will need to manufacture our products to exacting specifications in order to provide customers with a consistently high-quality product. An inability to meet customer specifications would negatively impact our business.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may be adversely affected by fluctuations in demand for, and prices of our products.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Fluctuations in rare earth market demand and prices, and limited demand for our products, could materially adversely affect the combined company’s revenue and profitability.</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Since our inception, we have generated negative operating cash flows and we may experience negative cash flow from operations in the future.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may not be able to generate positive cashflow from our expected future business operations, and we may not achieve profitability.</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may not be able to convert current commercial discussions and/or memorandums of understanding with customers for the sale of our neo magnets and other products into definitive contracts, which may have a negative effect on our business.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success of our business will depend, in part, on the growth of existing and emerging uses for neo magnets.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An increase in the global supply of neo magnets or dumping, predatory pricing and other tactics by our competitors or state actors may adversely affect our profitability.</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operate in a highly competitive industry in a high demand and growth environment and additional manufacturing, refining and mining competitors could result in a reduction in revenue.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Geopolitical developments or disruptions, such as changes in the political environment, export/import or environmental policy of the People’s Republic of China (“China”), the United States (“U.S.”) or other countries in which we operate or sell product or otherwise, may adversely affect our business.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Being designated on an export control list by China has had and is expected to continue to have an adverse impact on USAR’s ability to source key raw materials and supplies from China, which has impacted and is expected to continue to impact USAR’s business.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amount of capital required for completion and build-out of our Projects may increase materially from our current estimates, and any inability to access the capital or financial markets may limit our ability to fund our ongoing operations, execute our business plan or pursue investments that we may rely on for future growth.</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Increasing costs, including rising electricity and other utility costs, or limited access to raw materials may adversely affect our profitability.</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Diminished access to water may adversely affect our operations.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are subject to certain agreements with government entities at the national or state level that have provided us with certain incentives and favorable financing and contain conditions and obligations, including local investment, job creation, and repayment terms, that, if not complied with, could negatively impact our business or require us to repay that financing or lose access to those incentives.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are dependent upon information technology systems, which are subject to cyber threats, disruption, damage and failure. Any unauthorized access to, disclosure, or theft of personal information we gather, store, or use could harm our reputation and subject us to claims or litigation. Further, a failure of our information technology and data security infrastructure could adversely affect our business and operations.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depend on key personnel for the success of our business. If we fail to retain our key personnel or if we fail to attract additional qualified personnel, we may not be able to achieve our desired level of growth and our business could suffer.</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Work stoppages or similar difficulties, breakdown in labor relations, or a shortage of skilled technicians and engineers could significantly disrupt our operations and reduce our revenues.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 xml:space="preserve">Our success depends on developing and maintaining relationships with local communities and stakeholders. </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are or may be subject to risks associated with acquisitions, strategic transactions and expansions.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may fail to realize all of the anticipated benefits of the Less Common Metals acquisition, including the anticipated acceleration of our mine-to-magnet strategy, on the anticipated timeline, or at all.</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If we infringe, or are accused of infringing, the intellectual property rights of third parties, it may increase our costs or prevent us from being able to commercialize new products.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may not be able to adequately protect our intellectual property rights. If we fail to adequately enforce or defend our intellectual property rights, our business may be harmed.</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Our operations at our Projects are subject, or may become subject, to environmental, health and safety regulations, which could impose additional costs and compliance requirements or could limit or prevent our ability to continue our current operations or to undertake new operations, and we may face claims and liability for breaches, or alleged breaches, of such regulations and other applicable laws.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will be required to obtain and maintain governmental permits and approvals to develop and operate the Projects, a process which is often costly and time-consuming. Failure to obtain or retain any necessary permits or approvals for our planned operations may negatively impact our business.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Tariffs by the U.S., counter-tariffs by other countries and future changes in tariff policies could adversely affect our results of operations.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 xml:space="preserve">We are exposed to possible litigation risks, including permit disputes (including in respect of access and/or validity of tenure), environmental claims, occupational health and safety claims and employee claims. </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We are subject to the risks of war, terrorism, natural disasters or public health emergencies.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funding from the U.S. Department of Commerce is expected to be funded in phases over time and is subject to our achieving milestones, and there can be no assurance that such milestones will be achieved on the expected timeline or at all.</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The market price and trading volume of our common stock have been, and may continue to be, highly volatile, and could be subject to wide fluctuations in response to various factors, many of which are beyond our control.</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The other factors described in “Part II, Item 1A” in this Quarterly Report.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Additional risks and detailed information regarding factors that may cause actual results to differ materially has been and will be included in our filings with the SEC, including our most recently filed Annual Report on Form 10-K and subsequent filings.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000125"/>
                <wp:effectExtent l="0" t="0" r="0" b="0"/>
                <wp:wrapNone/>
                <wp:docPr id="3" name="Frame2"/>
                <a:graphic xmlns:a="http://schemas.openxmlformats.org/drawingml/2006/main">
                  <a:graphicData uri="http://schemas.microsoft.com/office/word/2010/wordprocessingShape">
                    <wps:wsp>
                      <wps:cNvSpPr txBox="1"/>
                      <wps:spPr>
                        <a:xfrm>
                          <a:off x="0" y="0"/>
                          <a:ext cx="6480175" cy="100012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 | Q2'2026 Quarterly Report (Form 10-Q)</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 | Q2'2026 Quarterly Report (Form 10-Q)</w:t>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Table of Contents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203"/>
        <w:gridCol w:w="200"/>
        <w:gridCol w:w="200"/>
        <w:gridCol w:w="2762"/>
        <w:gridCol w:w="2752"/>
        <w:gridCol w:w="2763"/>
        <w:gridCol w:w="351"/>
        <w:gridCol w:w="350"/>
        <w:gridCol w:w="500"/>
      </w:tblGrid>
      <w:tr>
        <w:trPr/>
        <w:tc>
          <w:tcPr>
            <w:tcW w:w="1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Page No.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22">
              <w:r>
                <w:rPr>
                  <w:rStyle w:val="InternetLink"/>
                  <w:rFonts w:ascii="Arial Narrow;sans-serif" w:hAnsi="Arial Narrow;sans-serif"/>
                  <w:b/>
                  <w:strike w:val="false"/>
                  <w:dstrike w:val="false"/>
                  <w:color w:val="000000"/>
                  <w:sz w:val="20"/>
                  <w:u w:val="none"/>
                  <w:effect w:val="none"/>
                </w:rPr>
                <w:t>PART I</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22">
              <w:r>
                <w:rPr>
                  <w:rStyle w:val="InternetLink"/>
                  <w:rFonts w:ascii="Arial Narrow;sans-serif" w:hAnsi="Arial Narrow;sans-serif"/>
                  <w:b/>
                  <w:strike w:val="false"/>
                  <w:dstrike w:val="false"/>
                  <w:color w:val="000000"/>
                  <w:sz w:val="20"/>
                  <w:u w:val="none"/>
                  <w:effect w:val="none"/>
                </w:rPr>
                <w:t>FINANCIAL INFORMATION</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15">
              <w:r>
                <w:rPr>
                  <w:rStyle w:val="InternetLink"/>
                  <w:rFonts w:ascii="Arial Narrow;sans-serif" w:hAnsi="Arial Narrow;sans-serif"/>
                  <w:b w:val="false"/>
                  <w:strike w:val="false"/>
                  <w:dstrike w:val="false"/>
                  <w:color w:val="000000"/>
                  <w:sz w:val="18"/>
                  <w:u w:val="none"/>
                  <w:effect w:val="none"/>
                </w:rPr>
                <w:t>Item 1</w:t>
              </w:r>
            </w:hyperlink>
          </w:p>
        </w:tc>
        <w:tc>
          <w:tcPr>
            <w:tcW w:w="8277"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F</w:t>
            </w:r>
            <w:hyperlink w:anchor="i5f43db688c2c433f9d412b16efe97020_115">
              <w:r>
                <w:rPr>
                  <w:rStyle w:val="InternetLink"/>
                  <w:rFonts w:ascii="Arial Narrow;sans-serif" w:hAnsi="Arial Narrow;sans-serif"/>
                  <w:b w:val="false"/>
                  <w:strike w:val="false"/>
                  <w:dstrike w:val="false"/>
                  <w:color w:val="000000"/>
                  <w:sz w:val="18"/>
                  <w:u w:val="none"/>
                  <w:effect w:val="none"/>
                </w:rPr>
                <w:t>inancial Statements (Unaudited)</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i5f43db688c2c433f9d412b16efe97020_115">
              <w:r>
                <w:rPr>
                  <w:rStyle w:val="InternetLink"/>
                  <w:rFonts w:ascii="Arial Narrow;sans-serif" w:hAnsi="Arial Narrow;sans-serif"/>
                  <w:b w:val="false"/>
                  <w:strike w:val="false"/>
                  <w:dstrike w:val="false"/>
                  <w:color w:val="000000"/>
                  <w:sz w:val="18"/>
                  <w:u w:val="none"/>
                  <w:effect w:val="none"/>
                </w:rPr>
                <w:t>1</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132">
              <w:r>
                <w:rPr>
                  <w:rStyle w:val="InternetLink"/>
                  <w:rFonts w:ascii="Arial Narrow;sans-serif" w:hAnsi="Arial Narrow;sans-serif"/>
                  <w:b w:val="false"/>
                  <w:strike w:val="false"/>
                  <w:dstrike w:val="false"/>
                  <w:color w:val="000000"/>
                  <w:sz w:val="18"/>
                  <w:u w:val="none"/>
                  <w:effect w:val="none"/>
                </w:rPr>
                <w:t>Condensed Consolidated Balance Sheets</w:t>
              </w:r>
            </w:hyperlink>
            <w:r>
              <w:rPr>
                <w:rFonts w:ascii="Arial Narrow;sans-serif" w:hAnsi="Arial Narrow;sans-serif"/>
                <w:b w:val="false"/>
                <w:color w:val="000000"/>
                <w:sz w:val="18"/>
              </w:rPr>
              <w:t xml:space="preserve"> — June 30, 2026 and December 31, 2025</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32">
              <w:r>
                <w:rPr>
                  <w:rStyle w:val="InternetLink"/>
                  <w:rFonts w:ascii="Arial Narrow;sans-serif" w:hAnsi="Arial Narrow;sans-serif"/>
                  <w:b w:val="false"/>
                  <w:strike w:val="false"/>
                  <w:dstrike w:val="false"/>
                  <w:color w:val="000000"/>
                  <w:sz w:val="18"/>
                  <w:u w:val="none"/>
                  <w:effect w:val="none"/>
                </w:rPr>
                <w:t>1</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549755814036">
              <w:r>
                <w:rPr>
                  <w:rStyle w:val="InternetLink"/>
                  <w:rFonts w:ascii="Arial Narrow;sans-serif" w:hAnsi="Arial Narrow;sans-serif"/>
                  <w:b w:val="false"/>
                  <w:strike w:val="false"/>
                  <w:dstrike w:val="false"/>
                  <w:color w:val="000000"/>
                  <w:sz w:val="18"/>
                  <w:u w:val="none"/>
                  <w:effect w:val="none"/>
                </w:rPr>
                <w:t xml:space="preserve">Condensed Consolidated Statements of Operations and Comprehensive </w:t>
              </w:r>
            </w:hyperlink>
            <w:r>
              <w:rPr>
                <w:rFonts w:ascii="Arial Narrow;sans-serif" w:hAnsi="Arial Narrow;sans-serif"/>
                <w:b w:val="false"/>
                <w:color w:val="000000"/>
                <w:sz w:val="18"/>
              </w:rPr>
              <w:t>Loss — Three and Six Months Ended June 30, 2026 and 2025</w:t>
            </w:r>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036">
              <w:r>
                <w:rPr>
                  <w:rStyle w:val="InternetLink"/>
                  <w:rFonts w:ascii="Arial Narrow;sans-serif" w:hAnsi="Arial Narrow;sans-serif"/>
                  <w:b w:val="false"/>
                  <w:strike w:val="false"/>
                  <w:dstrike w:val="false"/>
                  <w:color w:val="000000"/>
                  <w:sz w:val="18"/>
                  <w:u w:val="none"/>
                  <w:effect w:val="none"/>
                </w:rPr>
                <w:t>2</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549755814043">
              <w:r>
                <w:rPr>
                  <w:rStyle w:val="InternetLink"/>
                  <w:rFonts w:ascii="Arial Narrow;sans-serif" w:hAnsi="Arial Narrow;sans-serif"/>
                  <w:b w:val="false"/>
                  <w:strike w:val="false"/>
                  <w:dstrike w:val="false"/>
                  <w:color w:val="000080"/>
                  <w:sz w:val="18"/>
                  <w:u w:val="single"/>
                  <w:effect w:val="none"/>
                </w:rPr>
                <w:t xml:space="preserve">Condensed Consolidated Statements of </w:t>
              </w:r>
            </w:hyperlink>
            <w:hyperlink w:anchor="i5f43db688c2c433f9d412b16efe97020_549755814043">
              <w:r>
                <w:rPr>
                  <w:rStyle w:val="InternetLink"/>
                  <w:rFonts w:ascii="Arial Narrow;sans-serif" w:hAnsi="Arial Narrow;sans-serif"/>
                  <w:b w:val="false"/>
                  <w:strike w:val="false"/>
                  <w:dstrike w:val="false"/>
                  <w:color w:val="000080"/>
                  <w:sz w:val="18"/>
                  <w:u w:val="single"/>
                  <w:effect w:val="none"/>
                </w:rPr>
                <w:t>Mezzanine Equity</w:t>
              </w:r>
            </w:hyperlink>
            <w:r>
              <w:rPr>
                <w:rFonts w:ascii="Arial Narrow;sans-serif" w:hAnsi="Arial Narrow;sans-serif"/>
                <w:b w:val="false"/>
                <w:color w:val="000000"/>
                <w:sz w:val="18"/>
              </w:rPr>
              <w:t xml:space="preserve"> — Three and Six Months Ended June 30, 2026 and 2025</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043">
              <w:r>
                <w:rPr>
                  <w:rStyle w:val="InternetLink"/>
                  <w:rFonts w:ascii="Arial Narrow;sans-serif" w:hAnsi="Arial Narrow;sans-serif"/>
                  <w:b w:val="false"/>
                  <w:strike w:val="false"/>
                  <w:dstrike w:val="false"/>
                  <w:color w:val="000000"/>
                  <w:sz w:val="18"/>
                  <w:u w:val="none"/>
                  <w:effect w:val="none"/>
                </w:rPr>
                <w:t>3</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549755814972">
              <w:r>
                <w:rPr>
                  <w:rStyle w:val="InternetLink"/>
                  <w:rFonts w:ascii="Arial Narrow;sans-serif" w:hAnsi="Arial Narrow;sans-serif"/>
                  <w:b w:val="false"/>
                  <w:strike w:val="false"/>
                  <w:dstrike w:val="false"/>
                  <w:color w:val="000080"/>
                  <w:sz w:val="18"/>
                  <w:u w:val="single"/>
                  <w:effect w:val="none"/>
                </w:rPr>
                <w:t xml:space="preserve">Condensed Consolidated Statements of </w:t>
              </w:r>
            </w:hyperlink>
            <w:hyperlink w:anchor="i5f43db688c2c433f9d412b16efe97020_549755814972">
              <w:r>
                <w:rPr>
                  <w:rStyle w:val="InternetLink"/>
                  <w:rFonts w:ascii="Arial Narrow;sans-serif" w:hAnsi="Arial Narrow;sans-serif"/>
                  <w:b w:val="false"/>
                  <w:strike w:val="false"/>
                  <w:dstrike w:val="false"/>
                  <w:color w:val="000080"/>
                  <w:sz w:val="18"/>
                  <w:u w:val="single"/>
                  <w:effect w:val="none"/>
                </w:rPr>
                <w:t xml:space="preserve">Stockholders’ </w:t>
              </w:r>
            </w:hyperlink>
            <w:r>
              <w:rPr>
                <w:rFonts w:ascii="Arial Narrow;sans-serif" w:hAnsi="Arial Narrow;sans-serif"/>
                <w:b w:val="false"/>
                <w:color w:val="000000"/>
                <w:sz w:val="18"/>
              </w:rPr>
              <w:t>Equity (Deficit) — Three and Six Months Ended June 30, 2026 and 2025</w:t>
            </w:r>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972">
              <w:r>
                <w:rPr>
                  <w:rStyle w:val="InternetLink"/>
                  <w:rFonts w:ascii="Arial Narrow;sans-serif" w:hAnsi="Arial Narrow;sans-serif"/>
                  <w:b w:val="false"/>
                  <w:strike w:val="false"/>
                  <w:dstrike w:val="false"/>
                  <w:color w:val="000000"/>
                  <w:sz w:val="18"/>
                  <w:u w:val="none"/>
                  <w:effect w:val="none"/>
                </w:rPr>
                <w:t>4</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549755814059">
              <w:r>
                <w:rPr>
                  <w:rStyle w:val="InternetLink"/>
                  <w:rFonts w:ascii="Arial Narrow;sans-serif" w:hAnsi="Arial Narrow;sans-serif"/>
                  <w:b w:val="false"/>
                  <w:strike w:val="false"/>
                  <w:dstrike w:val="false"/>
                  <w:color w:val="000000"/>
                  <w:sz w:val="18"/>
                  <w:u w:val="none"/>
                  <w:effect w:val="none"/>
                </w:rPr>
                <w:t>Condensed Consolidated Statements of Cash Flows</w:t>
              </w:r>
            </w:hyperlink>
            <w:r>
              <w:rPr>
                <w:rFonts w:ascii="Arial Narrow;sans-serif" w:hAnsi="Arial Narrow;sans-serif"/>
                <w:b w:val="false"/>
                <w:color w:val="000000"/>
                <w:sz w:val="18"/>
              </w:rPr>
              <w:t xml:space="preserve"> — Six Months Ended June 30, 2026 and 2025</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549755814059">
              <w:r>
                <w:rPr>
                  <w:rStyle w:val="InternetLink"/>
                  <w:rFonts w:ascii="Arial Narrow;sans-serif" w:hAnsi="Arial Narrow;sans-serif"/>
                  <w:b w:val="false"/>
                  <w:strike w:val="false"/>
                  <w:dstrike w:val="false"/>
                  <w:color w:val="000000"/>
                  <w:sz w:val="18"/>
                  <w:u w:val="none"/>
                  <w:effect w:val="none"/>
                </w:rPr>
                <w:t>5</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i5f43db688c2c433f9d412b16efe97020_178">
              <w:r>
                <w:rPr>
                  <w:rStyle w:val="InternetLink"/>
                  <w:rFonts w:ascii="Arial Narrow;sans-serif" w:hAnsi="Arial Narrow;sans-serif"/>
                  <w:b w:val="false"/>
                  <w:strike w:val="false"/>
                  <w:dstrike w:val="false"/>
                  <w:color w:val="000000"/>
                  <w:sz w:val="18"/>
                  <w:u w:val="none"/>
                  <w:effect w:val="none"/>
                </w:rPr>
                <w:t>Notes to Condensed Consolidated Financial Statements</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78">
              <w:r>
                <w:rPr>
                  <w:rStyle w:val="InternetLink"/>
                  <w:rFonts w:ascii="Arial Narrow;sans-serif" w:hAnsi="Arial Narrow;sans-serif"/>
                  <w:b w:val="false"/>
                  <w:strike w:val="false"/>
                  <w:dstrike w:val="false"/>
                  <w:color w:val="000000"/>
                  <w:sz w:val="18"/>
                  <w:u w:val="none"/>
                  <w:effect w:val="none"/>
                </w:rPr>
                <w:t>6</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765">
              <w:r>
                <w:rPr>
                  <w:rStyle w:val="InternetLink"/>
                  <w:rFonts w:ascii="Arial Narrow;sans-serif" w:hAnsi="Arial Narrow;sans-serif"/>
                  <w:b w:val="false"/>
                  <w:strike w:val="false"/>
                  <w:dstrike w:val="false"/>
                  <w:color w:val="000000"/>
                  <w:sz w:val="18"/>
                  <w:u w:val="none"/>
                  <w:effect w:val="none"/>
                </w:rPr>
                <w:t>Item 2</w:t>
              </w:r>
            </w:hyperlink>
          </w:p>
        </w:tc>
        <w:tc>
          <w:tcPr>
            <w:tcW w:w="82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765">
              <w:r>
                <w:rPr>
                  <w:rStyle w:val="InternetLink"/>
                  <w:rFonts w:ascii="Arial Narrow;sans-serif" w:hAnsi="Arial Narrow;sans-serif"/>
                  <w:b w:val="false"/>
                  <w:strike w:val="false"/>
                  <w:dstrike w:val="false"/>
                  <w:color w:val="000000"/>
                  <w:sz w:val="18"/>
                  <w:u w:val="none"/>
                  <w:effect w:val="none"/>
                </w:rPr>
                <w:t>Management’s Discussion and Analysis of Financial Condition and Results of Operations</w:t>
              </w:r>
            </w:hyperlink>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765">
              <w:r>
                <w:rPr>
                  <w:rStyle w:val="InternetLink"/>
                  <w:rFonts w:ascii="Arial Narrow;sans-serif" w:hAnsi="Arial Narrow;sans-serif"/>
                  <w:b w:val="false"/>
                  <w:strike w:val="false"/>
                  <w:dstrike w:val="false"/>
                  <w:color w:val="000000"/>
                  <w:sz w:val="18"/>
                  <w:u w:val="none"/>
                  <w:effect w:val="none"/>
                </w:rPr>
                <w:t>27</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29">
              <w:r>
                <w:rPr>
                  <w:rStyle w:val="InternetLink"/>
                  <w:rFonts w:ascii="Arial Narrow;sans-serif" w:hAnsi="Arial Narrow;sans-serif"/>
                  <w:b w:val="false"/>
                  <w:strike w:val="false"/>
                  <w:dstrike w:val="false"/>
                  <w:color w:val="000000"/>
                  <w:sz w:val="18"/>
                  <w:u w:val="none"/>
                  <w:effect w:val="none"/>
                </w:rPr>
                <w:t>Item 3</w:t>
              </w:r>
            </w:hyperlink>
          </w:p>
        </w:tc>
        <w:tc>
          <w:tcPr>
            <w:tcW w:w="8277"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29">
              <w:r>
                <w:rPr>
                  <w:rStyle w:val="InternetLink"/>
                  <w:rFonts w:ascii="Arial Narrow;sans-serif" w:hAnsi="Arial Narrow;sans-serif"/>
                  <w:b w:val="false"/>
                  <w:strike w:val="false"/>
                  <w:dstrike w:val="false"/>
                  <w:color w:val="000000"/>
                  <w:sz w:val="18"/>
                  <w:u w:val="none"/>
                  <w:effect w:val="none"/>
                </w:rPr>
                <w:t>Quantitative and Qualitative Disclosures About Market Risk</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29">
              <w:r>
                <w:rPr>
                  <w:rStyle w:val="InternetLink"/>
                  <w:rFonts w:ascii="Arial Narrow;sans-serif" w:hAnsi="Arial Narrow;sans-serif"/>
                  <w:b w:val="false"/>
                  <w:strike w:val="false"/>
                  <w:dstrike w:val="false"/>
                  <w:color w:val="000000"/>
                  <w:sz w:val="18"/>
                  <w:u w:val="none"/>
                  <w:effect w:val="none"/>
                </w:rPr>
                <w:t>38</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37">
              <w:r>
                <w:rPr>
                  <w:rStyle w:val="InternetLink"/>
                  <w:rFonts w:ascii="Arial Narrow;sans-serif" w:hAnsi="Arial Narrow;sans-serif"/>
                  <w:b w:val="false"/>
                  <w:strike w:val="false"/>
                  <w:dstrike w:val="false"/>
                  <w:color w:val="000000"/>
                  <w:sz w:val="18"/>
                  <w:u w:val="none"/>
                  <w:effect w:val="none"/>
                </w:rPr>
                <w:t>Item 4</w:t>
              </w:r>
            </w:hyperlink>
          </w:p>
        </w:tc>
        <w:tc>
          <w:tcPr>
            <w:tcW w:w="82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37">
              <w:r>
                <w:rPr>
                  <w:rStyle w:val="InternetLink"/>
                  <w:rFonts w:ascii="Arial Narrow;sans-serif" w:hAnsi="Arial Narrow;sans-serif"/>
                  <w:b w:val="false"/>
                  <w:strike w:val="false"/>
                  <w:dstrike w:val="false"/>
                  <w:color w:val="000000"/>
                  <w:sz w:val="18"/>
                  <w:u w:val="none"/>
                  <w:effect w:val="none"/>
                </w:rPr>
                <w:t>Controls and Procedures</w:t>
              </w:r>
            </w:hyperlink>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37">
              <w:r>
                <w:rPr>
                  <w:rStyle w:val="InternetLink"/>
                  <w:rFonts w:ascii="Arial Narrow;sans-serif" w:hAnsi="Arial Narrow;sans-serif"/>
                  <w:b w:val="false"/>
                  <w:strike w:val="false"/>
                  <w:dstrike w:val="false"/>
                  <w:color w:val="000000"/>
                  <w:sz w:val="18"/>
                  <w:u w:val="none"/>
                  <w:effect w:val="none"/>
                </w:rPr>
                <w:t>38</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58">
              <w:r>
                <w:rPr>
                  <w:rStyle w:val="InternetLink"/>
                  <w:rFonts w:ascii="Arial Narrow;sans-serif" w:hAnsi="Arial Narrow;sans-serif"/>
                  <w:b/>
                  <w:strike w:val="false"/>
                  <w:dstrike w:val="false"/>
                  <w:color w:val="000000"/>
                  <w:sz w:val="20"/>
                  <w:u w:val="none"/>
                  <w:effect w:val="none"/>
                </w:rPr>
                <w:t>PART II</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58">
              <w:r>
                <w:rPr>
                  <w:rStyle w:val="InternetLink"/>
                  <w:rFonts w:ascii="Arial Narrow;sans-serif" w:hAnsi="Arial Narrow;sans-serif"/>
                  <w:b/>
                  <w:strike w:val="false"/>
                  <w:dstrike w:val="false"/>
                  <w:color w:val="000000"/>
                  <w:sz w:val="20"/>
                  <w:u w:val="none"/>
                  <w:effect w:val="none"/>
                </w:rPr>
                <w:t>OTHER INFORMATION</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65">
              <w:r>
                <w:rPr>
                  <w:rStyle w:val="InternetLink"/>
                  <w:rFonts w:ascii="Arial Narrow;sans-serif" w:hAnsi="Arial Narrow;sans-serif"/>
                  <w:b w:val="false"/>
                  <w:strike w:val="false"/>
                  <w:dstrike w:val="false"/>
                  <w:color w:val="000000"/>
                  <w:sz w:val="18"/>
                  <w:u w:val="none"/>
                  <w:effect w:val="none"/>
                </w:rPr>
                <w:t>Item 1</w:t>
              </w:r>
            </w:hyperlink>
          </w:p>
        </w:tc>
        <w:tc>
          <w:tcPr>
            <w:tcW w:w="8277"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65">
              <w:r>
                <w:rPr>
                  <w:rStyle w:val="InternetLink"/>
                  <w:rFonts w:ascii="Arial Narrow;sans-serif" w:hAnsi="Arial Narrow;sans-serif"/>
                  <w:b w:val="false"/>
                  <w:strike w:val="false"/>
                  <w:dstrike w:val="false"/>
                  <w:color w:val="000000"/>
                  <w:sz w:val="18"/>
                  <w:u w:val="none"/>
                  <w:effect w:val="none"/>
                </w:rPr>
                <w:t>Legal Proceedings</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65">
              <w:r>
                <w:rPr>
                  <w:rStyle w:val="InternetLink"/>
                  <w:rFonts w:ascii="Arial Narrow;sans-serif" w:hAnsi="Arial Narrow;sans-serif"/>
                  <w:b w:val="false"/>
                  <w:strike w:val="false"/>
                  <w:dstrike w:val="false"/>
                  <w:color w:val="000000"/>
                  <w:sz w:val="18"/>
                  <w:u w:val="none"/>
                  <w:effect w:val="none"/>
                </w:rPr>
                <w:t>39</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74">
              <w:r>
                <w:rPr>
                  <w:rStyle w:val="InternetLink"/>
                  <w:rFonts w:ascii="Arial Narrow;sans-serif" w:hAnsi="Arial Narrow;sans-serif"/>
                  <w:b w:val="false"/>
                  <w:strike w:val="false"/>
                  <w:dstrike w:val="false"/>
                  <w:color w:val="000000"/>
                  <w:sz w:val="18"/>
                  <w:u w:val="none"/>
                  <w:effect w:val="none"/>
                </w:rPr>
                <w:t>Item 1A</w:t>
              </w:r>
            </w:hyperlink>
          </w:p>
        </w:tc>
        <w:tc>
          <w:tcPr>
            <w:tcW w:w="82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74">
              <w:r>
                <w:rPr>
                  <w:rStyle w:val="InternetLink"/>
                  <w:rFonts w:ascii="Arial Narrow;sans-serif" w:hAnsi="Arial Narrow;sans-serif"/>
                  <w:b w:val="false"/>
                  <w:strike w:val="false"/>
                  <w:dstrike w:val="false"/>
                  <w:color w:val="000000"/>
                  <w:sz w:val="18"/>
                  <w:u w:val="none"/>
                  <w:effect w:val="none"/>
                </w:rPr>
                <w:t>Risk Factors</w:t>
              </w:r>
            </w:hyperlink>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74">
              <w:r>
                <w:rPr>
                  <w:rStyle w:val="InternetLink"/>
                  <w:rFonts w:ascii="Arial Narrow;sans-serif" w:hAnsi="Arial Narrow;sans-serif"/>
                  <w:b w:val="false"/>
                  <w:strike w:val="false"/>
                  <w:dstrike w:val="false"/>
                  <w:color w:val="000000"/>
                  <w:sz w:val="18"/>
                  <w:u w:val="none"/>
                  <w:effect w:val="none"/>
                </w:rPr>
                <w:t>39</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89">
              <w:r>
                <w:rPr>
                  <w:rStyle w:val="InternetLink"/>
                  <w:rFonts w:ascii="Arial Narrow;sans-serif" w:hAnsi="Arial Narrow;sans-serif"/>
                  <w:b w:val="false"/>
                  <w:strike w:val="false"/>
                  <w:dstrike w:val="false"/>
                  <w:color w:val="000000"/>
                  <w:sz w:val="18"/>
                  <w:u w:val="none"/>
                  <w:effect w:val="none"/>
                </w:rPr>
                <w:t>Item 2</w:t>
              </w:r>
            </w:hyperlink>
          </w:p>
        </w:tc>
        <w:tc>
          <w:tcPr>
            <w:tcW w:w="8277"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89">
              <w:r>
                <w:rPr>
                  <w:rStyle w:val="InternetLink"/>
                  <w:rFonts w:ascii="Arial Narrow;sans-serif" w:hAnsi="Arial Narrow;sans-serif"/>
                  <w:b w:val="false"/>
                  <w:strike w:val="false"/>
                  <w:dstrike w:val="false"/>
                  <w:color w:val="000000"/>
                  <w:sz w:val="18"/>
                  <w:u w:val="none"/>
                  <w:effect w:val="none"/>
                </w:rPr>
                <w:t>Unregistered Sales of Equity Securities and Use of Proceeds</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89">
              <w:r>
                <w:rPr>
                  <w:rStyle w:val="InternetLink"/>
                  <w:rFonts w:ascii="Arial Narrow;sans-serif" w:hAnsi="Arial Narrow;sans-serif"/>
                  <w:b w:val="false"/>
                  <w:strike w:val="false"/>
                  <w:dstrike w:val="false"/>
                  <w:color w:val="000000"/>
                  <w:sz w:val="18"/>
                  <w:u w:val="none"/>
                  <w:effect w:val="none"/>
                </w:rPr>
                <w:t>39</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95">
              <w:r>
                <w:rPr>
                  <w:rStyle w:val="InternetLink"/>
                  <w:rFonts w:ascii="Arial Narrow;sans-serif" w:hAnsi="Arial Narrow;sans-serif"/>
                  <w:b w:val="false"/>
                  <w:strike w:val="false"/>
                  <w:dstrike w:val="false"/>
                  <w:color w:val="000000"/>
                  <w:sz w:val="18"/>
                  <w:u w:val="none"/>
                  <w:effect w:val="none"/>
                </w:rPr>
                <w:t>Item 3</w:t>
              </w:r>
            </w:hyperlink>
          </w:p>
        </w:tc>
        <w:tc>
          <w:tcPr>
            <w:tcW w:w="82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995">
              <w:r>
                <w:rPr>
                  <w:rStyle w:val="InternetLink"/>
                  <w:rFonts w:ascii="Arial Narrow;sans-serif" w:hAnsi="Arial Narrow;sans-serif"/>
                  <w:b w:val="false"/>
                  <w:strike w:val="false"/>
                  <w:dstrike w:val="false"/>
                  <w:color w:val="000000"/>
                  <w:sz w:val="18"/>
                  <w:u w:val="none"/>
                  <w:effect w:val="none"/>
                </w:rPr>
                <w:t>Defaults Upon Senior Securities</w:t>
              </w:r>
            </w:hyperlink>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995">
              <w:r>
                <w:rPr>
                  <w:rStyle w:val="InternetLink"/>
                  <w:rFonts w:ascii="Arial Narrow;sans-serif" w:hAnsi="Arial Narrow;sans-serif"/>
                  <w:b w:val="false"/>
                  <w:strike w:val="false"/>
                  <w:dstrike w:val="false"/>
                  <w:color w:val="000000"/>
                  <w:sz w:val="18"/>
                  <w:u w:val="none"/>
                  <w:effect w:val="none"/>
                </w:rPr>
                <w:t>39</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1">
              <w:r>
                <w:rPr>
                  <w:rStyle w:val="InternetLink"/>
                  <w:rFonts w:ascii="Arial Narrow;sans-serif" w:hAnsi="Arial Narrow;sans-serif"/>
                  <w:b w:val="false"/>
                  <w:strike w:val="false"/>
                  <w:dstrike w:val="false"/>
                  <w:color w:val="000000"/>
                  <w:sz w:val="18"/>
                  <w:u w:val="none"/>
                  <w:effect w:val="none"/>
                </w:rPr>
                <w:t>Item 4</w:t>
              </w:r>
            </w:hyperlink>
          </w:p>
        </w:tc>
        <w:tc>
          <w:tcPr>
            <w:tcW w:w="8277"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1">
              <w:r>
                <w:rPr>
                  <w:rStyle w:val="InternetLink"/>
                  <w:rFonts w:ascii="Arial Narrow;sans-serif" w:hAnsi="Arial Narrow;sans-serif"/>
                  <w:b w:val="false"/>
                  <w:strike w:val="false"/>
                  <w:dstrike w:val="false"/>
                  <w:color w:val="000000"/>
                  <w:sz w:val="18"/>
                  <w:u w:val="none"/>
                  <w:effect w:val="none"/>
                </w:rPr>
                <w:t>Mine Safety Disclosures</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01">
              <w:r>
                <w:rPr>
                  <w:rStyle w:val="InternetLink"/>
                  <w:rFonts w:ascii="Arial Narrow;sans-serif" w:hAnsi="Arial Narrow;sans-serif"/>
                  <w:b w:val="false"/>
                  <w:strike w:val="false"/>
                  <w:dstrike w:val="false"/>
                  <w:color w:val="000000"/>
                  <w:sz w:val="18"/>
                  <w:u w:val="none"/>
                  <w:effect w:val="none"/>
                </w:rPr>
                <w:t>39</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7">
              <w:r>
                <w:rPr>
                  <w:rStyle w:val="InternetLink"/>
                  <w:rFonts w:ascii="Arial Narrow;sans-serif" w:hAnsi="Arial Narrow;sans-serif"/>
                  <w:b w:val="false"/>
                  <w:strike w:val="false"/>
                  <w:dstrike w:val="false"/>
                  <w:color w:val="000000"/>
                  <w:sz w:val="18"/>
                  <w:u w:val="none"/>
                  <w:effect w:val="none"/>
                </w:rPr>
                <w:t>Item 5</w:t>
              </w:r>
            </w:hyperlink>
          </w:p>
        </w:tc>
        <w:tc>
          <w:tcPr>
            <w:tcW w:w="82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07">
              <w:r>
                <w:rPr>
                  <w:rStyle w:val="InternetLink"/>
                  <w:rFonts w:ascii="Arial Narrow;sans-serif" w:hAnsi="Arial Narrow;sans-serif"/>
                  <w:b w:val="false"/>
                  <w:strike w:val="false"/>
                  <w:dstrike w:val="false"/>
                  <w:color w:val="000000"/>
                  <w:sz w:val="18"/>
                  <w:u w:val="none"/>
                  <w:effect w:val="none"/>
                </w:rPr>
                <w:t>Other Information</w:t>
              </w:r>
            </w:hyperlink>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07">
              <w:r>
                <w:rPr>
                  <w:rStyle w:val="InternetLink"/>
                  <w:rFonts w:ascii="Arial Narrow;sans-serif" w:hAnsi="Arial Narrow;sans-serif"/>
                  <w:b w:val="false"/>
                  <w:strike w:val="false"/>
                  <w:dstrike w:val="false"/>
                  <w:color w:val="000000"/>
                  <w:sz w:val="18"/>
                  <w:u w:val="none"/>
                  <w:effect w:val="none"/>
                </w:rPr>
                <w:t>39</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13">
              <w:r>
                <w:rPr>
                  <w:rStyle w:val="InternetLink"/>
                  <w:rFonts w:ascii="Arial Narrow;sans-serif" w:hAnsi="Arial Narrow;sans-serif"/>
                  <w:b w:val="false"/>
                  <w:strike w:val="false"/>
                  <w:dstrike w:val="false"/>
                  <w:color w:val="000000"/>
                  <w:sz w:val="18"/>
                  <w:u w:val="none"/>
                  <w:effect w:val="none"/>
                </w:rPr>
                <w:t>Item 6</w:t>
              </w:r>
            </w:hyperlink>
          </w:p>
        </w:tc>
        <w:tc>
          <w:tcPr>
            <w:tcW w:w="8277"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13">
              <w:r>
                <w:rPr>
                  <w:rStyle w:val="InternetLink"/>
                  <w:rFonts w:ascii="Arial Narrow;sans-serif" w:hAnsi="Arial Narrow;sans-serif"/>
                  <w:b w:val="false"/>
                  <w:strike w:val="false"/>
                  <w:dstrike w:val="false"/>
                  <w:color w:val="000000"/>
                  <w:sz w:val="18"/>
                  <w:u w:val="none"/>
                  <w:effect w:val="none"/>
                </w:rPr>
                <w:t>Exhibits</w:t>
              </w:r>
            </w:hyperlink>
          </w:p>
        </w:tc>
        <w:tc>
          <w:tcPr>
            <w:tcW w:w="120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13">
              <w:r>
                <w:rPr>
                  <w:rStyle w:val="InternetLink"/>
                  <w:rFonts w:ascii="Arial Narrow;sans-serif" w:hAnsi="Arial Narrow;sans-serif"/>
                  <w:b w:val="false"/>
                  <w:strike w:val="false"/>
                  <w:dstrike w:val="false"/>
                  <w:color w:val="000000"/>
                  <w:sz w:val="18"/>
                  <w:u w:val="none"/>
                  <w:effect w:val="none"/>
                </w:rPr>
                <w:t>40</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8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f43db688c2c433f9d412b16efe97020_1021">
              <w:r>
                <w:rPr>
                  <w:rStyle w:val="InternetLink"/>
                  <w:rFonts w:ascii="Arial Narrow;sans-serif" w:hAnsi="Arial Narrow;sans-serif"/>
                  <w:b w:val="false"/>
                  <w:strike w:val="false"/>
                  <w:dstrike w:val="false"/>
                  <w:color w:val="000000"/>
                  <w:sz w:val="18"/>
                  <w:u w:val="none"/>
                  <w:effect w:val="none"/>
                </w:rPr>
                <w:t>Signatures</w:t>
              </w:r>
            </w:hyperlink>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f43db688c2c433f9d412b16efe97020_1021">
              <w:r>
                <w:rPr>
                  <w:rStyle w:val="InternetLink"/>
                  <w:rFonts w:ascii="Arial Narrow;sans-serif" w:hAnsi="Arial Narrow;sans-serif"/>
                  <w:b w:val="false"/>
                  <w:strike w:val="false"/>
                  <w:dstrike w:val="false"/>
                  <w:color w:val="000000"/>
                  <w:sz w:val="18"/>
                  <w:u w:val="none"/>
                  <w:effect w:val="none"/>
                </w:rPr>
                <w:t>41</w:t>
              </w:r>
            </w:hyperlink>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478"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478"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478"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9478"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000125"/>
                <wp:effectExtent l="0" t="0" r="0" b="0"/>
                <wp:wrapNone/>
                <wp:docPr id="4" name="Frame3"/>
                <a:graphic xmlns:a="http://schemas.openxmlformats.org/drawingml/2006/main">
                  <a:graphicData uri="http://schemas.microsoft.com/office/word/2010/wordprocessingShape">
                    <wps:wsp>
                      <wps:cNvSpPr txBox="1"/>
                      <wps:spPr>
                        <a:xfrm>
                          <a:off x="0" y="0"/>
                          <a:ext cx="6480175" cy="100012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 | Q2'2026 Quarterly Report (Form 10-Q)</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USA Rare Earth, Inc. | Q2'2026 Quarterly Report (Form 10-Q)</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PART I.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1. FINANCIAL STATEMENTS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Balance Sheets</w:t>
      </w:r>
    </w:p>
    <w:p>
      <w:pPr>
        <w:pStyle w:val="TextBody"/>
        <w:bidi w:val="0"/>
        <w:spacing w:before="0" w:after="0"/>
        <w:jc w:val="center"/>
        <w:rPr/>
      </w:pPr>
      <w:r>
        <w:rPr/>
      </w:r>
    </w:p>
    <w:tbl>
      <w:tblPr>
        <w:tblW w:w="8295" w:type="dxa"/>
        <w:jc w:val="center"/>
        <w:tblInd w:w="0" w:type="dxa"/>
        <w:tblLayout w:type="fixed"/>
        <w:tblCellMar>
          <w:top w:w="28" w:type="dxa"/>
          <w:left w:w="28" w:type="dxa"/>
          <w:bottom w:w="28" w:type="dxa"/>
          <w:right w:w="28" w:type="dxa"/>
        </w:tblCellMar>
      </w:tblPr>
      <w:tblGrid>
        <w:gridCol w:w="124"/>
        <w:gridCol w:w="1827"/>
        <w:gridCol w:w="1827"/>
        <w:gridCol w:w="1835"/>
        <w:gridCol w:w="181"/>
        <w:gridCol w:w="766"/>
        <w:gridCol w:w="109"/>
        <w:gridCol w:w="109"/>
        <w:gridCol w:w="109"/>
        <w:gridCol w:w="109"/>
        <w:gridCol w:w="200"/>
        <w:gridCol w:w="715"/>
        <w:gridCol w:w="121"/>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626"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3,764 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12,347 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2,865 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1,672,589 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385,375 </w:t>
            </w:r>
          </w:p>
        </w:tc>
        <w:tc>
          <w:tcPr>
            <w:tcW w:w="12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86,449 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Mineral interests</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17,339 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intangible assets, net</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65,899 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68,612 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Equipment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arrangement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non-current</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2,998,827 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694,999 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LIABILITIES, MEZZANINE AND STOCKHOLDERS' EQUITY</w:t>
            </w:r>
          </w:p>
        </w:tc>
        <w:tc>
          <w:tcPr>
            <w:tcW w:w="1056"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105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17,367 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11,069 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 liabilities, current</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10,500 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leases, current</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 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51,014 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37,911 </w:t>
            </w:r>
          </w:p>
        </w:tc>
        <w:tc>
          <w:tcPr>
            <w:tcW w:w="12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grant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leases, non-current</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 non-current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Earnout liability</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108,671 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Warrant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15,665 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16,715 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 liabilities, non-current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451,508 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191,808 </w:t>
            </w:r>
          </w:p>
        </w:tc>
        <w:tc>
          <w:tcPr>
            <w:tcW w:w="12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5)</w:t>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Mezzanine equity</w:t>
            </w:r>
          </w:p>
        </w:tc>
        <w:tc>
          <w:tcPr>
            <w:tcW w:w="105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12% Series A Cumulative Convertible Preferred Stock subject to possible redemption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mezzanine equity</w:t>
            </w:r>
          </w:p>
        </w:tc>
        <w:tc>
          <w:tcPr>
            <w:tcW w:w="94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10,347 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8,905 </w:t>
            </w:r>
          </w:p>
        </w:tc>
        <w:tc>
          <w:tcPr>
            <w:tcW w:w="12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Stockholders' equity</w:t>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3,003,612 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879,848 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(387,360)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1,653 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equity</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2,536,972 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494,286 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mezzanine equity, and stockholders' equity</w:t>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2,998,827 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5"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694,999 </w:t>
            </w:r>
          </w:p>
        </w:tc>
        <w:tc>
          <w:tcPr>
            <w:tcW w:w="12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35050"/>
                <wp:effectExtent l="0" t="0" r="0" b="0"/>
                <wp:wrapNone/>
                <wp:docPr id="5" name="Frame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Operations and Comprehensive Loss</w:t>
      </w:r>
    </w:p>
    <w:p>
      <w:pPr>
        <w:pStyle w:val="TextBody"/>
        <w:bidi w:val="0"/>
        <w:spacing w:before="0" w:after="0"/>
        <w:jc w:val="center"/>
        <w:rPr/>
      </w:pPr>
      <w:r>
        <w:rPr/>
      </w:r>
    </w:p>
    <w:tbl>
      <w:tblPr>
        <w:tblW w:w="8937" w:type="dxa"/>
        <w:jc w:val="center"/>
        <w:tblInd w:w="0" w:type="dxa"/>
        <w:tblLayout w:type="fixed"/>
        <w:tblCellMar>
          <w:top w:w="28" w:type="dxa"/>
          <w:left w:w="28" w:type="dxa"/>
          <w:bottom w:w="28" w:type="dxa"/>
          <w:right w:w="28" w:type="dxa"/>
        </w:tblCellMar>
      </w:tblPr>
      <w:tblGrid>
        <w:gridCol w:w="124"/>
        <w:gridCol w:w="1287"/>
        <w:gridCol w:w="1287"/>
        <w:gridCol w:w="1296"/>
        <w:gridCol w:w="181"/>
        <w:gridCol w:w="616"/>
        <w:gridCol w:w="109"/>
        <w:gridCol w:w="109"/>
        <w:gridCol w:w="109"/>
        <w:gridCol w:w="109"/>
        <w:gridCol w:w="181"/>
        <w:gridCol w:w="691"/>
        <w:gridCol w:w="109"/>
        <w:gridCol w:w="109"/>
        <w:gridCol w:w="109"/>
        <w:gridCol w:w="109"/>
        <w:gridCol w:w="181"/>
        <w:gridCol w:w="616"/>
        <w:gridCol w:w="109"/>
        <w:gridCol w:w="109"/>
        <w:gridCol w:w="109"/>
        <w:gridCol w:w="109"/>
        <w:gridCol w:w="181"/>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vMerge w:val="continue"/>
            <w:tcBorders/>
            <w:tcMar>
              <w:top w:w="0" w:type="dxa"/>
              <w:left w:w="0" w:type="dxa"/>
              <w:bottom w:w="0" w:type="dxa"/>
              <w:right w:w="0" w:type="dxa"/>
            </w:tcMar>
            <w:vAlign w:val="center"/>
          </w:tcPr>
          <w:p>
            <w:pPr>
              <w:pStyle w:val="Normal"/>
              <w:bidi w:val="0"/>
              <w:jc w:val="left"/>
              <w:rPr/>
            </w:pPr>
            <w:r>
              <w:rPr/>
            </w:r>
          </w:p>
        </w:tc>
        <w:tc>
          <w:tcPr>
            <w:tcW w:w="4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per share)</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11,519 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Cost of revenue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loss</w:t>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(1,583)</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(1,477)</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Selling, general and administrative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Research and development</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25,017 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4,266 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intangible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44,731 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8,804 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81,512 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17,522 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from operations</w:t>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(46,314)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(82,989)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 net</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 income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Grant income</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fair market value of financial instruments,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 and other expense, net</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income (expense), net</w:t>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(133,909)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(73,509)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before income taxes</w:t>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(12,476)</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(142,713)</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(81,121)</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(91,031)</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Benefit from income taxes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(11,963)</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(142,713)</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(80,031)</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(91,031)</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non-controlling interest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USA Rare Earth, Inc.</w:t>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(10,333)</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(142,506)</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(77,322)</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(90,674)</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comprehensive loss, net of tax</w:t>
            </w:r>
          </w:p>
        </w:tc>
        <w:tc>
          <w:tcPr>
            <w:tcW w:w="9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loss attributable to USA Rare Earth, Inc.</w:t>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(11,060)</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(142,506)</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(78,379)</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(90,674)</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loss per share attributable to USA Rare Earth, Inc.: </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and diluted</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Number of shares used in per share calculations: </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and diluted</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230,081 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92,769 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213,347 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91,598 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35050"/>
                <wp:effectExtent l="0" t="0" r="0" b="0"/>
                <wp:wrapNone/>
                <wp:docPr id="6" name="Frame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Mezzanine Equity</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459"/>
        <w:gridCol w:w="328"/>
        <w:gridCol w:w="329"/>
        <w:gridCol w:w="248"/>
        <w:gridCol w:w="248"/>
        <w:gridCol w:w="191"/>
        <w:gridCol w:w="109"/>
        <w:gridCol w:w="109"/>
        <w:gridCol w:w="109"/>
        <w:gridCol w:w="181"/>
        <w:gridCol w:w="571"/>
        <w:gridCol w:w="109"/>
        <w:gridCol w:w="109"/>
        <w:gridCol w:w="109"/>
        <w:gridCol w:w="109"/>
        <w:gridCol w:w="248"/>
        <w:gridCol w:w="248"/>
        <w:gridCol w:w="191"/>
        <w:gridCol w:w="109"/>
        <w:gridCol w:w="109"/>
        <w:gridCol w:w="109"/>
        <w:gridCol w:w="181"/>
        <w:gridCol w:w="571"/>
        <w:gridCol w:w="109"/>
        <w:gridCol w:w="109"/>
        <w:gridCol w:w="109"/>
        <w:gridCol w:w="109"/>
        <w:gridCol w:w="248"/>
        <w:gridCol w:w="248"/>
        <w:gridCol w:w="191"/>
        <w:gridCol w:w="109"/>
        <w:gridCol w:w="109"/>
        <w:gridCol w:w="109"/>
        <w:gridCol w:w="181"/>
        <w:gridCol w:w="571"/>
        <w:gridCol w:w="109"/>
        <w:gridCol w:w="109"/>
        <w:gridCol w:w="109"/>
        <w:gridCol w:w="109"/>
        <w:gridCol w:w="248"/>
        <w:gridCol w:w="248"/>
        <w:gridCol w:w="191"/>
        <w:gridCol w:w="109"/>
        <w:gridCol w:w="109"/>
        <w:gridCol w:w="109"/>
        <w:gridCol w:w="181"/>
        <w:gridCol w:w="571"/>
        <w:gridCol w:w="109"/>
        <w:gridCol w:w="10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Six Months Ended June 30, </w:t>
            </w:r>
          </w:p>
        </w:tc>
        <w:tc>
          <w:tcPr>
            <w:tcW w:w="484"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1875"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6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848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484"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12% Series A Cumulative Convertible Preferred Stock</w:t>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unit dividends</w:t>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preferred stock, net of issuance costs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issued in reverse recapitalization</w:t>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offering costs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Deemed dividend and accretion to redemption value</w:t>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Conversions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496"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19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10,347 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3,714 </w:t>
            </w:r>
          </w:p>
        </w:tc>
        <w:tc>
          <w:tcPr>
            <w:tcW w:w="19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19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10,347 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3,714 </w:t>
            </w:r>
          </w:p>
        </w:tc>
        <w:tc>
          <w:tcPr>
            <w:tcW w:w="19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Subscription Receivable</w:t>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issued in reverse recapitalization</w:t>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5"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5"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5"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5"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Mezzanine Equity</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w:t>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5,233 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32,397 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8,905 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2,739 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19,923 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496"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191"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10,347 </w:t>
            </w:r>
          </w:p>
        </w:tc>
        <w:tc>
          <w:tcPr>
            <w:tcW w:w="109"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3,714 </w:t>
            </w:r>
          </w:p>
        </w:tc>
        <w:tc>
          <w:tcPr>
            <w:tcW w:w="191"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09"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191"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10,347 </w:t>
            </w:r>
          </w:p>
        </w:tc>
        <w:tc>
          <w:tcPr>
            <w:tcW w:w="109"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3,714 </w:t>
            </w:r>
          </w:p>
        </w:tc>
        <w:tc>
          <w:tcPr>
            <w:tcW w:w="191"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25,242 </w:t>
            </w:r>
          </w:p>
        </w:tc>
        <w:tc>
          <w:tcPr>
            <w:tcW w:w="109"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35050"/>
                <wp:effectExtent l="0" t="0" r="0" b="0"/>
                <wp:wrapNone/>
                <wp:docPr id="7" name="Frame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Stockholders' Equity</w:t>
      </w:r>
    </w:p>
    <w:p>
      <w:pPr>
        <w:pStyle w:val="TextBody"/>
        <w:bidi w:val="0"/>
        <w:spacing w:before="0" w:after="0"/>
        <w:jc w:val="center"/>
        <w:rPr/>
      </w:pPr>
      <w:r>
        <w:rPr/>
      </w:r>
    </w:p>
    <w:tbl>
      <w:tblPr>
        <w:tblW w:w="11307" w:type="dxa"/>
        <w:jc w:val="center"/>
        <w:tblInd w:w="0" w:type="dxa"/>
        <w:tblLayout w:type="fixed"/>
        <w:tblCellMar>
          <w:top w:w="28" w:type="dxa"/>
          <w:left w:w="28" w:type="dxa"/>
          <w:bottom w:w="28" w:type="dxa"/>
          <w:right w:w="28" w:type="dxa"/>
        </w:tblCellMar>
      </w:tblPr>
      <w:tblGrid>
        <w:gridCol w:w="124"/>
        <w:gridCol w:w="730"/>
        <w:gridCol w:w="250"/>
        <w:gridCol w:w="251"/>
        <w:gridCol w:w="323"/>
        <w:gridCol w:w="323"/>
        <w:gridCol w:w="191"/>
        <w:gridCol w:w="109"/>
        <w:gridCol w:w="109"/>
        <w:gridCol w:w="109"/>
        <w:gridCol w:w="181"/>
        <w:gridCol w:w="766"/>
        <w:gridCol w:w="109"/>
        <w:gridCol w:w="109"/>
        <w:gridCol w:w="109"/>
        <w:gridCol w:w="109"/>
        <w:gridCol w:w="285"/>
        <w:gridCol w:w="286"/>
        <w:gridCol w:w="191"/>
        <w:gridCol w:w="109"/>
        <w:gridCol w:w="109"/>
        <w:gridCol w:w="109"/>
        <w:gridCol w:w="181"/>
        <w:gridCol w:w="646"/>
        <w:gridCol w:w="109"/>
        <w:gridCol w:w="109"/>
        <w:gridCol w:w="109"/>
        <w:gridCol w:w="109"/>
        <w:gridCol w:w="323"/>
        <w:gridCol w:w="323"/>
        <w:gridCol w:w="191"/>
        <w:gridCol w:w="109"/>
        <w:gridCol w:w="109"/>
        <w:gridCol w:w="109"/>
        <w:gridCol w:w="181"/>
        <w:gridCol w:w="766"/>
        <w:gridCol w:w="109"/>
        <w:gridCol w:w="109"/>
        <w:gridCol w:w="109"/>
        <w:gridCol w:w="109"/>
        <w:gridCol w:w="285"/>
        <w:gridCol w:w="286"/>
        <w:gridCol w:w="191"/>
        <w:gridCol w:w="109"/>
        <w:gridCol w:w="109"/>
        <w:gridCol w:w="109"/>
        <w:gridCol w:w="181"/>
        <w:gridCol w:w="646"/>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Six Months Ended June 30, </w:t>
            </w:r>
          </w:p>
        </w:tc>
        <w:tc>
          <w:tcPr>
            <w:tcW w:w="481"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222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4216" w:type="dxa"/>
            <w:gridSpan w:val="2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83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947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Common Stock</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w:t>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217,976 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81,952 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148,055 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60,091 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unit dividends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issued in reverse merger recapitalization</w:t>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21,679 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Conversion of 12%  Series A Cumulative Convertible Preferred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Investor warrants exercised</w:t>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3,051 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3,051 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Conversion of Earnout liability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PIPE financing</w:t>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8,550 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69,767 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8,550 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Government grant program</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issuances</w:t>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462 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244,671 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96,189 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244,671 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96,189 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Additional Paid-In Capital</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2,332,912 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879,848 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104,244 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Deemed dividend - preferred accretion to redemption value</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Conversions of 12% Series A Cumulative Convertible Preferred Stock</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issuance</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Warrant exercises</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PIPE financing</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1,499,993 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PIPE financing costs</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Government grant program</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451,394 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451,394 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Conversion of earnout liability</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Forward purchase agreement</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 bonus</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Extinguishment of note payable</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Reverse recapitalization</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3,003,612 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46,270 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3,003,612 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46,270 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Accumulated Other Comprehensive Loss</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Translation adjustment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Subscription Receivable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Beginning balance </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(17,187)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Forward purchase agreements prepayment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Early termination of forward purchase agreements</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17,120 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20,391 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Accretion of forward purchase agreements</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Accumulated Deficit</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(454,349)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(37,994)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(387,360)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(72,872)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issued in reverse merger recapitalization</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Dilution of non-controlling interest</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USA Rare Earth, Inc.</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(142,482)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(77,322)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(90,650)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(464,681)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(180,500)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(464,681)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(180,500)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Non-Controlling Interest</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attributable to non-controlling interest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2,286 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2,286 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Stockholders’ Equity (Deficit)</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217,976 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1,878,959 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81,952 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(52,656)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148,055 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494,286 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60,091 </w:t>
            </w:r>
          </w:p>
        </w:tc>
        <w:tc>
          <w:tcPr>
            <w:tcW w:w="1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646"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244,671 </w:t>
            </w:r>
          </w:p>
        </w:tc>
        <w:tc>
          <w:tcPr>
            <w:tcW w:w="191"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2,536,972 </w:t>
            </w:r>
          </w:p>
        </w:tc>
        <w:tc>
          <w:tcPr>
            <w:tcW w:w="109"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96,189 </w:t>
            </w:r>
          </w:p>
        </w:tc>
        <w:tc>
          <w:tcPr>
            <w:tcW w:w="191"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(131,934)</w:t>
            </w:r>
          </w:p>
        </w:tc>
        <w:tc>
          <w:tcPr>
            <w:tcW w:w="109"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244,671 </w:t>
            </w:r>
          </w:p>
        </w:tc>
        <w:tc>
          <w:tcPr>
            <w:tcW w:w="191"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2,536,972 </w:t>
            </w:r>
          </w:p>
        </w:tc>
        <w:tc>
          <w:tcPr>
            <w:tcW w:w="109"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96,189 </w:t>
            </w:r>
          </w:p>
        </w:tc>
        <w:tc>
          <w:tcPr>
            <w:tcW w:w="191"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5"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(131,934)</w:t>
            </w:r>
          </w:p>
        </w:tc>
        <w:tc>
          <w:tcPr>
            <w:tcW w:w="109" w:type="dxa"/>
            <w:tcBorders>
              <w:bottom w:val="double" w:sz="5"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35050"/>
                <wp:effectExtent l="0" t="0" r="0" b="0"/>
                <wp:wrapNone/>
                <wp:docPr id="8" name="Frame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before="0" w:after="0"/>
        <w:jc w:val="both"/>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Condensed Consolidated Statements of Cash Flows</w:t>
      </w:r>
    </w:p>
    <w:p>
      <w:pPr>
        <w:pStyle w:val="TextBody"/>
        <w:bidi w:val="0"/>
        <w:spacing w:before="0" w:after="0"/>
        <w:jc w:val="center"/>
        <w:rPr/>
      </w:pPr>
      <w:r>
        <w:rPr/>
      </w:r>
    </w:p>
    <w:tbl>
      <w:tblPr>
        <w:tblW w:w="9082" w:type="dxa"/>
        <w:jc w:val="center"/>
        <w:tblInd w:w="0" w:type="dxa"/>
        <w:tblLayout w:type="fixed"/>
        <w:tblCellMar>
          <w:top w:w="28" w:type="dxa"/>
          <w:left w:w="28" w:type="dxa"/>
          <w:bottom w:w="28" w:type="dxa"/>
          <w:right w:w="28" w:type="dxa"/>
        </w:tblCellMar>
      </w:tblPr>
      <w:tblGrid>
        <w:gridCol w:w="124"/>
        <w:gridCol w:w="1747"/>
        <w:gridCol w:w="1747"/>
        <w:gridCol w:w="1755"/>
        <w:gridCol w:w="109"/>
        <w:gridCol w:w="109"/>
        <w:gridCol w:w="168"/>
        <w:gridCol w:w="168"/>
        <w:gridCol w:w="279"/>
        <w:gridCol w:w="1182"/>
        <w:gridCol w:w="168"/>
        <w:gridCol w:w="109"/>
        <w:gridCol w:w="109"/>
        <w:gridCol w:w="109"/>
        <w:gridCol w:w="181"/>
        <w:gridCol w:w="6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1526"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loss to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1,579 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other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Amortization of right of 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fair market value of financial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21,135 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74,362 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non-cash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(26,428)</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7,465 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grants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(75,324)</w:t>
            </w:r>
          </w:p>
        </w:tc>
        <w:tc>
          <w:tcPr>
            <w:tcW w:w="168"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(18,238)</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and equipment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(108,388)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(108,388)</w:t>
            </w:r>
          </w:p>
        </w:tc>
        <w:tc>
          <w:tcPr>
            <w:tcW w:w="168"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(6,297)</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USARE LLC Preferred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issuance cost for USARE LLC Preferred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IPXX contribution of capital through merger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Prepayment of Forward Purchase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termination of Forward Purchase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securities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(51,003)</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(8,281)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Payment of issuance cost for PIPE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common stock under PIPE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1,500,000 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deferred government loan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Proceeds from 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21,951 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Repayment of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financed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1,419,331 </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top w:val="sing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differences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top w:val="sing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1,234,444 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6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359,925 </w:t>
            </w:r>
          </w:p>
        </w:tc>
        <w:tc>
          <w:tcPr>
            <w:tcW w:w="16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82"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1,594,369 </w:t>
            </w:r>
          </w:p>
        </w:tc>
        <w:tc>
          <w:tcPr>
            <w:tcW w:w="168"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121,791 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i/>
          <w:color w:val="000000"/>
          <w:sz w:val="18"/>
        </w:rPr>
      </w:pPr>
      <w:r>
        <w:rPr>
          <w:rFonts w:ascii="Arial Narrow;sans-serif" w:hAnsi="Arial Narrow;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35050"/>
                <wp:effectExtent l="0" t="0" r="0" b="0"/>
                <wp:wrapNone/>
                <wp:docPr id="9" name="Frame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 Organization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USA Rare Earth, Inc. (collectively with its subsidiaries, the “Company,” “USARE,” “we,” “us,” or “our”) is building a leading global rare earth value chain, from mine to magnet and beyond. The Company intends to secure, reshore, and grow the materials intelligence and production technologies required to stand up a resilient rare earth industry. This advanced industrial operating system should strengthen supply-chain security for the national defense, manufacturing and technology of the United States (“U.S.”) and its allies. The Company’s plan is to build an integrated platform to encompass the entire rare earth value chain: extraction and separation of rare earth oxides; conversion of oxides into metals, alloys and strip-cast; and production of sintered neodymium-iron-boron (“NdFeB”) permanent magnets, which the Company refers to as “neo magnets.” This capability should address the supply-chain vulnerabilities created by China’s current dominance of rare earth processing, and metal and magnet manufacturing.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During the year ended December 31, 2025, the Company completed two significant transactions: a business combination and an acquisition.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March 13, 2025, the Company consummated a business combination with USA Rare Earth, LLC pursuant to a Business Combination Agreement with Inflection Point Acquisition Corp. II, as a result of which the Company became a publicly traded corporation listed on Nasdaq under the symbol “USAR.” The transaction was accounted for as a reverse recapitalization, with USA Rare Earth, LLC treated as the accounting acquirer. The historical financial statements of USA Rare Earth, LLC became the historical financial statements of the Company upon consummation of the merger. As a result, the financial statements in this quarterly report reflect (i) the historical operating results of USA Rare Earth, LLC prior to the merger; (ii) the combined results of Inflection Point Acquisition Corp. II and USA Rare Earth, LLC following the close of the merger; (iii) the assets and liabilities of USA Rare Earth, LLC at their historical cost; and (iv) USA Rare Earth, LLC’s equity structure for all periods presented, as affected by the recapitalization presentation after completion of the merger.</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November 18, 2025, the Company acquired Indian Ocean Rare Metals Pte. Ltd., the parent of Less Common Metals Ltd. (“Less Common Metals”), a rare earth metal and alloy manufacturer based in Cheshire, United Kingdom. The acquisition was accounted for as a business combination and the results of Less Common Metals have been included in the Company’s consolidated financial statements beginning on the acquisition date.</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For a complete description of both transactions, including the purchase price allocation, assets acquired, liabilities assumed, and related accounting policies, refer to </w:t>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Note</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 </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2</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 “Merger Transaction and Acquisition,” of the Notes to Consolidated Financial Statements</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 xml:space="preserve"> in the Company's Annual Report on Form 10-K for the fiscal year ended December 31, 2025</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 xml:space="preserve"> (the “2025 Annual Report”) filed with the SEC on March 30, 2026.</w:t>
      </w:r>
      <w:r>
        <w:rPr>
          <w:rStyle w:val="InternetLink"/>
        </w:rPr>
        <w:fldChar w:fldCharType="end"/>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Basis of Presentation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accompanying Condensed Consolidated Financial Statements have been prepared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such rules and regulations.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December 31, 2025 Condensed Consolidated Balance Sheet was derived from audited financial statements and does not include all disclosures, including notes, required by GAAP; however, the Company believes the disclosures included are adequate to make the information presented not misleading. The June 30, 2026 unaudited Condensed Consolidated Financial Statements should be read in conjunction with the audited Consolidated Financial Statements and the notes thereto in the 2025 Annual Report.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unaudited Condensed Consolidated Financial Statements include all adjustments (consisting of normal recurring adjustments) which, in the opinion of management, are necessary for a fair presentation of the Company’s financial condition, results of operations and cash flows for the periods presented.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35050"/>
                <wp:effectExtent l="0" t="0" r="0" b="0"/>
                <wp:wrapNone/>
                <wp:docPr id="10" name="Frame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results of operations for the interim periods are not necessarily indicative of the operating results for the full fiscal year or any future periods. References to a year refer to the Company’s fiscal years ended on December 31 of the specified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Reclassifications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Certain prior period amounts have been reclassified in the Condensed Consolidated Balance Sheets and certain notes to the Condensed Consolidated Financial Statements to conform to the current period presentation. These reclassifications had no effect on the Company’s previously reported financial position, results of operations and comprehensive loss, mezzanine and stockholders' equity, net loss per share,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Principles of Consolidation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Condensed Consolidated Financial Statements include the accounts of the Company and its wholly owned subsidiaries, as well as variable interest entities (“VIEs”) for which the Company is the primary beneficiary. All intercompany transactions and balances have been eliminated.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Use of Estimates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preparation of Condensed Consolidated Financial Statements in conformity with U.S. GAAP requires management to make estimates, assumptions, and judgments that affect the reported amounts of assets and liabilities, the disclosure of contingent assets and liabilities as of the financial statement date and the reported amounts of expenses during the reporting period. Significant estimates include goodwill and other intangible assets arising from business combinations, asset and liability valuations, including earnout and warrant liabilities, deferred taxes and related valuation allowances, and other fair value measurements. These estimates involve inherent uncertainties and the exercise of judgment; therefore, actual results could differ materially from those estimates if assumptions or underlying circumstances change.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For a detailed description of the Company’s Significant Accounting Policies, please refer to the Company’s 2025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 Narrow;sans-serif" w:hAnsi="Arial Narrow;sans-serif"/>
          <w:b/>
          <w:color w:val="000000"/>
          <w:sz w:val="20"/>
        </w:rPr>
        <w:t>Recently Adopted Accounting Pronouncemen</w:t>
      </w:r>
      <w:r>
        <w:rPr>
          <w:rFonts w:ascii="Arial Narrow;sans-serif" w:hAnsi="Arial Narrow;sans-serif"/>
          <w:b/>
          <w:i/>
          <w:color w:val="000000"/>
          <w:sz w:val="20"/>
        </w:rPr>
        <w:t>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 xml:space="preserve">In December 2025, the Financial Accounting Standards Board (“FASB”) issued Accounting Standards Update (“ASU”) 2025-10, </w:t>
      </w:r>
      <w:r>
        <w:rPr>
          <w:rFonts w:ascii="Arial Narrow;sans-serif" w:hAnsi="Arial Narrow;sans-serif"/>
          <w:b w:val="false"/>
          <w:i/>
          <w:color w:val="000000"/>
          <w:sz w:val="20"/>
        </w:rPr>
        <w:t>Government Grants (Topic 832): Accounting for Government Grants Received by Business Entities</w:t>
      </w:r>
      <w:r>
        <w:rPr>
          <w:rFonts w:ascii="Arial Narrow;sans-serif" w:hAnsi="Arial Narrow;sans-serif"/>
          <w:b w:val="false"/>
          <w:color w:val="000000"/>
          <w:sz w:val="20"/>
        </w:rPr>
        <w:t>. This ASU applies to business entities that receive government grants and addresses the accounting for cash and non-monetary grants, including forgivable loans, while excluding tax abatements, income tax credits, and exchange transactions. The ASU requires recognition of government grants when there is reasonable assurance that the entity will comply with the conditions attached to the grants and the grants will be received. The amendments permit income</w:t>
        <w:noBreakHyphen/>
        <w:t>related grants to be presented as either other income or a reduction of related expenses, and asset</w:t>
        <w:noBreakHyphen/>
        <w:t>related grants to be recorded as deferred income or as a reduction of the asset’s cost basis. This ASU is effective for fiscal years beginning after December 15, 2028, and interim periods within those fiscal years, with early adoption permitted. The ASU permits adoption using a modified prospective, modified retrospective, or full retrospective transition method. The Company early adopted the ASU effective January 1, 2026, using the modified prospective approach. Under this transition method, the guidance is applied to transactions occurring on or after the adoption date, and prior-period amounts are not adjusted. Adoption of the standard did not have a material impact on the Company’s financial position, results of operations, cash flows, or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35050"/>
                <wp:effectExtent l="0" t="0" r="0" b="0"/>
                <wp:wrapNone/>
                <wp:docPr id="11" name="Frame1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Recently Issued Accounting Pronouncements Not Yet Adopted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In November 2024, the FASB issued ASU 2024-03,</w:t>
      </w:r>
      <w:r>
        <w:rPr>
          <w:color w:val="000000"/>
        </w:rPr>
        <w:t xml:space="preserve"> </w:t>
      </w:r>
      <w:r>
        <w:rPr>
          <w:rFonts w:ascii="Arial Narrow;sans-serif" w:hAnsi="Arial Narrow;sans-serif"/>
          <w:b w:val="false"/>
          <w:i/>
          <w:color w:val="000000"/>
          <w:sz w:val="20"/>
        </w:rPr>
        <w:t>Income Statement – Reporting Comprehensive Income (Topic 220): Disaggregation of Income Statement Expenses</w:t>
      </w:r>
      <w:r>
        <w:rPr>
          <w:rFonts w:ascii="Arial Narrow;sans-serif" w:hAnsi="Arial Narrow;sans-serif"/>
          <w:b w:val="false"/>
          <w:color w:val="000000"/>
          <w:sz w:val="20"/>
        </w:rPr>
        <w:t>. This ASU requires additional disclosures that disaggregate income statement expense line items, including (i) the amounts of purchased inventory, employee compensation, depreciation, amortization, and other related costs and expenses; (ii) a qualitative description of costs and expenses not disaggregated quantitatively; and (iii) the definition and total amount of selling expenses. This ASU is effective for fiscal years beginning after December 15, 2026, and interim periods within fiscal years beginning after December 15, 2027. Early adoption is permitted. The ASU should be applied prospectively; however, retrospective application is permitted for all prior periods presented. The Company is currently evaluating the impact of adopting this ASU on its financial reporting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 xml:space="preserve">In January 2025, the FASB issued ASU 2025-01, </w:t>
      </w:r>
      <w:r>
        <w:rPr>
          <w:rFonts w:ascii="Arial Narrow;sans-serif" w:hAnsi="Arial Narrow;sans-serif"/>
          <w:b w:val="false"/>
          <w:i/>
          <w:color w:val="000000"/>
          <w:sz w:val="20"/>
        </w:rPr>
        <w:t>Income Statement – Reporting Comprehensive Income – Expense Disaggregation Disclosures (Subtopic 220-40): Clarifying the Effective Date</w:t>
      </w:r>
      <w:r>
        <w:rPr>
          <w:rFonts w:ascii="Arial Narrow;sans-serif" w:hAnsi="Arial Narrow;sans-serif"/>
          <w:b w:val="false"/>
          <w:color w:val="000000"/>
          <w:sz w:val="20"/>
        </w:rPr>
        <w:t>. This ASU amends the effective date of ASU 2024-03 to clarify that all public business entities are required to adopt the guidance in annual reporting periods beginning after December 15, 2026, and interim periods within annual reporting periods beginning after December 15, 2027. The Company is currently evaluating the impact of adopting this ASU on its financial reporting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 xml:space="preserve">In December 2025, the FASB issued ASU 2025-11, </w:t>
      </w:r>
      <w:r>
        <w:rPr>
          <w:rFonts w:ascii="Arial Narrow;sans-serif" w:hAnsi="Arial Narrow;sans-serif"/>
          <w:b w:val="false"/>
          <w:i/>
          <w:color w:val="000000"/>
          <w:sz w:val="20"/>
        </w:rPr>
        <w:t>Interim Reporting (Topic 270): Narrow-Scope Improvements</w:t>
      </w:r>
      <w:r>
        <w:rPr>
          <w:rFonts w:ascii="Arial Narrow;sans-serif" w:hAnsi="Arial Narrow;sans-serif"/>
          <w:b w:val="false"/>
          <w:color w:val="000000"/>
          <w:sz w:val="20"/>
        </w:rPr>
        <w:t>, which improves and clarifies interim reporting requirements under U.S. GAAP. The ASU compiles required interim disclosures, including disclosure of material changes since the last annual reporting period, to improve consistency and navigability. This ASU is effective for fiscal years beginning after December 15, 2027, and interim periods within those fiscal years, with early adoption permitted. The ASU should be applied prospectively, although retrospective application is permitted for all prior periods presented. The Company is currently evaluating the impact of adopting this ASU on its financial reporting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2. Fair Value Measurements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U.S. GAAP defines fair value as the price that would be received to sell an asset or be paid to transfer a liability in an orderly transaction between market participants at the measurement date (exit price), and establishes a fair value hierarchy that prioritizes the inputs used to measure fair value using the following definitions (from highest to lowest priority):</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Level 1 — Unadjusted quoted prices in active markets that are accessible at the measurement date for identical, unrestricted assets or liabilities.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Level 3 — Prices or valuation techniques requiring inputs that are both significant to the fair-value measurement and unobservable.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35050"/>
                <wp:effectExtent l="0" t="0" r="0" b="0"/>
                <wp:wrapNone/>
                <wp:docPr id="12" name="Frame1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Money Market Funds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During February 2026, the Company began investing a portion of its cash balances in institutional floating-Net Asset Value (“NAV”) prime money market funds. The fair value of the Prime money market funds approximates their carrying amounts due to the highly liquid, short-term nature of the underlying financial assets. Any minor unrealized gains or losses resulting from daily NAV fluctuations are recorded within </w:t>
      </w:r>
      <w:r>
        <w:rPr>
          <w:rFonts w:ascii="Arial Narrow;sans-serif" w:hAnsi="Arial Narrow;sans-serif"/>
          <w:b w:val="false"/>
          <w:i/>
          <w:color w:val="000000"/>
          <w:sz w:val="20"/>
        </w:rPr>
        <w:t>Other income (expense), net</w:t>
      </w:r>
      <w:r>
        <w:rPr>
          <w:color w:val="000000"/>
        </w:rPr>
        <w:t xml:space="preserve"> </w:t>
      </w:r>
      <w:r>
        <w:rPr>
          <w:rFonts w:ascii="Arial Narrow;sans-serif" w:hAnsi="Arial Narrow;sans-serif"/>
          <w:b w:val="false"/>
          <w:color w:val="000000"/>
          <w:sz w:val="20"/>
        </w:rPr>
        <w:t>on the Condensed Statement of Operations and Comprehensive Loss.</w:t>
      </w:r>
    </w:p>
    <w:tbl>
      <w:tblPr>
        <w:tblW w:w="9378" w:type="dxa"/>
        <w:jc w:val="left"/>
        <w:tblInd w:w="0" w:type="dxa"/>
        <w:tblLayout w:type="fixed"/>
        <w:tblCellMar>
          <w:top w:w="28" w:type="dxa"/>
          <w:left w:w="28" w:type="dxa"/>
          <w:bottom w:w="28" w:type="dxa"/>
          <w:right w:w="28" w:type="dxa"/>
        </w:tblCellMar>
      </w:tblPr>
      <w:tblGrid>
        <w:gridCol w:w="124"/>
        <w:gridCol w:w="1426"/>
        <w:gridCol w:w="1426"/>
        <w:gridCol w:w="1437"/>
        <w:gridCol w:w="109"/>
        <w:gridCol w:w="109"/>
        <w:gridCol w:w="109"/>
        <w:gridCol w:w="184"/>
        <w:gridCol w:w="184"/>
        <w:gridCol w:w="186"/>
        <w:gridCol w:w="109"/>
        <w:gridCol w:w="109"/>
        <w:gridCol w:w="109"/>
        <w:gridCol w:w="109"/>
        <w:gridCol w:w="109"/>
        <w:gridCol w:w="109"/>
        <w:gridCol w:w="109"/>
        <w:gridCol w:w="109"/>
        <w:gridCol w:w="109"/>
        <w:gridCol w:w="181"/>
        <w:gridCol w:w="766"/>
        <w:gridCol w:w="109"/>
        <w:gridCol w:w="109"/>
        <w:gridCol w:w="109"/>
        <w:gridCol w:w="109"/>
        <w:gridCol w:w="109"/>
        <w:gridCol w:w="109"/>
        <w:gridCol w:w="109"/>
        <w:gridCol w:w="109"/>
        <w:gridCol w:w="109"/>
        <w:gridCol w:w="109"/>
        <w:gridCol w:w="196"/>
        <w:gridCol w:w="701"/>
        <w:gridCol w:w="169"/>
      </w:tblGrid>
      <w:tr>
        <w:trPr/>
        <w:tc>
          <w:tcPr>
            <w:tcW w:w="1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gridSpan w:val="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611"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Money market funds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Level 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353,841 </w:t>
            </w:r>
          </w:p>
        </w:tc>
        <w:tc>
          <w:tcPr>
            <w:tcW w:w="16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Government 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Prime money market funds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Level 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728,455 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money market funds (included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1,483,973 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353,841 </w:t>
            </w:r>
          </w:p>
        </w:tc>
        <w:tc>
          <w:tcPr>
            <w:tcW w:w="16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Level 3 Fair Value of Financial Instruments on a Recurring Basis</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Level 3 financial liabilities measured at fair value on a recurring basis. The Company has no Level 3 financial assets measured at fair value on a recurring basis.</w:t>
      </w:r>
    </w:p>
    <w:tbl>
      <w:tblPr>
        <w:tblW w:w="4608" w:type="dxa"/>
        <w:jc w:val="left"/>
        <w:tblInd w:w="0" w:type="dxa"/>
        <w:tblLayout w:type="fixed"/>
        <w:tblCellMar>
          <w:top w:w="28" w:type="dxa"/>
          <w:left w:w="28" w:type="dxa"/>
          <w:bottom w:w="28" w:type="dxa"/>
          <w:right w:w="28" w:type="dxa"/>
        </w:tblCellMar>
      </w:tblPr>
      <w:tblGrid>
        <w:gridCol w:w="124"/>
        <w:gridCol w:w="609"/>
        <w:gridCol w:w="609"/>
        <w:gridCol w:w="612"/>
        <w:gridCol w:w="109"/>
        <w:gridCol w:w="109"/>
        <w:gridCol w:w="109"/>
        <w:gridCol w:w="181"/>
        <w:gridCol w:w="646"/>
        <w:gridCol w:w="109"/>
        <w:gridCol w:w="109"/>
        <w:gridCol w:w="109"/>
        <w:gridCol w:w="109"/>
        <w:gridCol w:w="196"/>
        <w:gridCol w:w="701"/>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91"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Earnout liability</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108,671 </w:t>
            </w:r>
          </w:p>
        </w:tc>
        <w:tc>
          <w:tcPr>
            <w:tcW w:w="16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Series A Warrant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40,690 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19,534 </w:t>
            </w:r>
          </w:p>
        </w:tc>
        <w:tc>
          <w:tcPr>
            <w:tcW w:w="16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Government Grant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Warrant liabilities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364,189 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19,534 </w:t>
            </w:r>
          </w:p>
        </w:tc>
        <w:tc>
          <w:tcPr>
            <w:tcW w:w="167"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364,189 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128,205 </w:t>
            </w:r>
          </w:p>
        </w:tc>
        <w:tc>
          <w:tcPr>
            <w:tcW w:w="167"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Level 3 Valuation and Reconciliation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Earnout Liability</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Company valued the earnout liability using a Monte Carlo simulation model which includes Level 3 unobservable inputs. The following table summarizes the significant inputs used to value the earnout liability as of the dates indicated. In the second quarter of 2026, all contingent conditions required for the conversion of earnout shares were satisfied, and the shares were subsequently distributed to their holders at a fair value of $215.8 million on the date of conversion.</w:t>
      </w:r>
    </w:p>
    <w:tbl>
      <w:tblPr>
        <w:tblW w:w="3806" w:type="dxa"/>
        <w:jc w:val="left"/>
        <w:tblInd w:w="0" w:type="dxa"/>
        <w:tblLayout w:type="fixed"/>
        <w:tblCellMar>
          <w:top w:w="28" w:type="dxa"/>
          <w:left w:w="28" w:type="dxa"/>
          <w:bottom w:w="28" w:type="dxa"/>
          <w:right w:w="28" w:type="dxa"/>
        </w:tblCellMar>
      </w:tblPr>
      <w:tblGrid>
        <w:gridCol w:w="628"/>
        <w:gridCol w:w="554"/>
        <w:gridCol w:w="558"/>
        <w:gridCol w:w="224"/>
        <w:gridCol w:w="224"/>
        <w:gridCol w:w="226"/>
        <w:gridCol w:w="109"/>
        <w:gridCol w:w="109"/>
        <w:gridCol w:w="109"/>
        <w:gridCol w:w="312"/>
        <w:gridCol w:w="312"/>
        <w:gridCol w:w="441"/>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1392" w:type="dxa"/>
            <w:gridSpan w:val="6"/>
            <w:tcBorders/>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7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price</w:t>
            </w:r>
          </w:p>
        </w:tc>
        <w:tc>
          <w:tcPr>
            <w:tcW w:w="674"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$11.90</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Expected volatility</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70.1%</w:t>
            </w:r>
          </w:p>
        </w:tc>
      </w:tr>
      <w:tr>
        <w:trPr/>
        <w:tc>
          <w:tcPr>
            <w:tcW w:w="17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Risk-free interest rate</w:t>
            </w:r>
          </w:p>
        </w:tc>
        <w:tc>
          <w:tcPr>
            <w:tcW w:w="6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3.70%</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term (in years)</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5.2</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As of June 30, 2026, all earnout shares had been distributed and there were no shares outstanding.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35050"/>
                <wp:effectExtent l="0" t="0" r="0" b="0"/>
                <wp:wrapNone/>
                <wp:docPr id="13" name="Frame1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earnout liability measured at fair value on a recurring basis for the dates indicated.</w:t>
      </w:r>
    </w:p>
    <w:tbl>
      <w:tblPr>
        <w:tblW w:w="7931" w:type="dxa"/>
        <w:jc w:val="left"/>
        <w:tblInd w:w="0" w:type="dxa"/>
        <w:tblLayout w:type="fixed"/>
        <w:tblCellMar>
          <w:top w:w="28" w:type="dxa"/>
          <w:left w:w="28" w:type="dxa"/>
          <w:bottom w:w="28" w:type="dxa"/>
          <w:right w:w="28" w:type="dxa"/>
        </w:tblCellMar>
      </w:tblPr>
      <w:tblGrid>
        <w:gridCol w:w="124"/>
        <w:gridCol w:w="938"/>
        <w:gridCol w:w="938"/>
        <w:gridCol w:w="943"/>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89" w:type="dxa"/>
            <w:gridSpan w:val="1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beginning of period</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145,080 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46,232 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108,671 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liability at March 13,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Unrealized loss in estimated fair value </w:t>
            </w:r>
            <w:r>
              <w:rPr>
                <w:rFonts w:ascii="Arial Narrow;sans-serif" w:hAnsi="Arial Narrow;sans-serif"/>
                <w:b w:val="false"/>
                <w:color w:val="000000"/>
                <w:sz w:val="12"/>
              </w:rPr>
              <w:t>(1)</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70,747 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53,775 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107,156 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Conversion of earnout shares </w:t>
            </w:r>
            <w:r>
              <w:rPr>
                <w:rFonts w:ascii="Arial Narrow;sans-serif" w:hAnsi="Arial Narrow;sans-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end of period</w:t>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100,007 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100,007 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 xml:space="preserve">The “Unrealized loss in estimated fair value” is recognized in </w:t>
      </w:r>
      <w:r>
        <w:rPr>
          <w:rFonts w:ascii="Arial Narrow;sans-serif" w:hAnsi="Arial Narrow;sans-serif"/>
          <w:b w:val="false"/>
          <w:i/>
          <w:color w:val="000000"/>
          <w:sz w:val="18"/>
        </w:rPr>
        <w:t>(Loss) gain on fair market value of financial instruments, net</w:t>
      </w:r>
      <w:r>
        <w:rPr>
          <w:color w:val="000000"/>
        </w:rPr>
        <w:t xml:space="preserve"> </w:t>
      </w:r>
      <w:r>
        <w:rPr>
          <w:rFonts w:ascii="Arial Narrow;sans-serif" w:hAnsi="Arial Narrow;sans-serif"/>
          <w:b w:val="false"/>
          <w:color w:val="000000"/>
          <w:sz w:val="18"/>
        </w:rPr>
        <w:t>in the Condensed Consolidated Statements of Operations and Comprehensive Loss.</w:t>
      </w:r>
    </w:p>
    <w:p>
      <w:pPr>
        <w:pStyle w:val="TextBody"/>
        <w:bidi w:val="0"/>
        <w:spacing w:lineRule="auto" w:line="288" w:before="0" w:after="0"/>
        <w:ind w:left="0" w:right="0" w:hanging="360"/>
        <w:jc w:val="both"/>
        <w:rPr/>
      </w:pPr>
      <w:r>
        <w:rPr>
          <w:rFonts w:ascii="Arial Narrow;sans-serif" w:hAnsi="Arial Narrow;sans-serif"/>
          <w:b w:val="false"/>
          <w:color w:val="000000"/>
          <w:sz w:val="12"/>
        </w:rPr>
        <w:t>(2)</w:t>
      </w:r>
      <w:r>
        <w:rPr>
          <w:rFonts w:ascii="Arial Narrow;sans-serif" w:hAnsi="Arial Narrow;sans-serif"/>
          <w:b w:val="false"/>
          <w:color w:val="000000"/>
          <w:sz w:val="18"/>
        </w:rPr>
        <w:t>In the second quarter of 2026, all contingent conditions required for the conversion of earnout shares were satisfied, and the shares were subsequently distributed to their holders. The amount represents the fair value of the earnout liability on the date of conversion.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 Narrow;sans-serif" w:hAnsi="Arial Narrow;sans-serif"/>
          <w:b/>
          <w:i/>
          <w:color w:val="000000"/>
          <w:sz w:val="20"/>
        </w:rPr>
        <w:t>Series A Warrant Liability</w:t>
      </w:r>
      <w:r>
        <w:rPr>
          <w:color w:val="000000"/>
        </w:rPr>
        <w:t xml:space="preserve"> </w:t>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Company valued the Series A Warrant liability using a Monte Carlo simulation model which includes Level 3 unobservable inputs. The following table summarizes the significant inputs used to value the Series A Warrant liability as of the dates indicated.</w:t>
      </w:r>
    </w:p>
    <w:tbl>
      <w:tblPr>
        <w:tblW w:w="3371" w:type="dxa"/>
        <w:jc w:val="left"/>
        <w:tblInd w:w="0" w:type="dxa"/>
        <w:tblLayout w:type="fixed"/>
        <w:tblCellMar>
          <w:top w:w="28" w:type="dxa"/>
          <w:left w:w="28" w:type="dxa"/>
          <w:bottom w:w="28" w:type="dxa"/>
          <w:right w:w="28" w:type="dxa"/>
        </w:tblCellMar>
      </w:tblPr>
      <w:tblGrid>
        <w:gridCol w:w="471"/>
        <w:gridCol w:w="415"/>
        <w:gridCol w:w="419"/>
        <w:gridCol w:w="224"/>
        <w:gridCol w:w="224"/>
        <w:gridCol w:w="226"/>
        <w:gridCol w:w="109"/>
        <w:gridCol w:w="109"/>
        <w:gridCol w:w="109"/>
        <w:gridCol w:w="312"/>
        <w:gridCol w:w="312"/>
        <w:gridCol w:w="441"/>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1392" w:type="dxa"/>
            <w:gridSpan w:val="6"/>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price</w:t>
            </w:r>
          </w:p>
        </w:tc>
        <w:tc>
          <w:tcPr>
            <w:tcW w:w="674"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$21.58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$11.90</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Exercise price</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Expected volatility</w:t>
            </w:r>
          </w:p>
        </w:tc>
        <w:tc>
          <w:tcPr>
            <w:tcW w:w="6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68.1%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67.3%</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Risk-free rate</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3.6%</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 yield</w:t>
            </w:r>
          </w:p>
        </w:tc>
        <w:tc>
          <w:tcPr>
            <w:tcW w:w="6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Put term (in years)</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w:t>
            </w:r>
          </w:p>
        </w:tc>
      </w:tr>
    </w:tbl>
    <w:p>
      <w:pPr>
        <w:pStyle w:val="TextBody"/>
        <w:bidi w:val="0"/>
        <w:spacing w:before="0" w:after="0"/>
        <w:jc w:val="left"/>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Series A Warrant liability measured at fair value on a recurring basis for the dates indicated.</w:t>
      </w:r>
    </w:p>
    <w:tbl>
      <w:tblPr>
        <w:tblW w:w="7726" w:type="dxa"/>
        <w:jc w:val="left"/>
        <w:tblInd w:w="0" w:type="dxa"/>
        <w:tblLayout w:type="fixed"/>
        <w:tblCellMar>
          <w:top w:w="28" w:type="dxa"/>
          <w:left w:w="28" w:type="dxa"/>
          <w:bottom w:w="28" w:type="dxa"/>
          <w:right w:w="28" w:type="dxa"/>
        </w:tblCellMar>
      </w:tblPr>
      <w:tblGrid>
        <w:gridCol w:w="124"/>
        <w:gridCol w:w="938"/>
        <w:gridCol w:w="938"/>
        <w:gridCol w:w="943"/>
        <w:gridCol w:w="189"/>
        <w:gridCol w:w="598"/>
        <w:gridCol w:w="114"/>
        <w:gridCol w:w="114"/>
        <w:gridCol w:w="114"/>
        <w:gridCol w:w="114"/>
        <w:gridCol w:w="189"/>
        <w:gridCol w:w="598"/>
        <w:gridCol w:w="114"/>
        <w:gridCol w:w="109"/>
        <w:gridCol w:w="109"/>
        <w:gridCol w:w="109"/>
        <w:gridCol w:w="181"/>
        <w:gridCol w:w="571"/>
        <w:gridCol w:w="109"/>
        <w:gridCol w:w="109"/>
        <w:gridCol w:w="109"/>
        <w:gridCol w:w="109"/>
        <w:gridCol w:w="181"/>
        <w:gridCol w:w="5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2639" w:type="dxa"/>
            <w:gridSpan w:val="1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beginning of period</w:t>
            </w:r>
          </w:p>
        </w:tc>
        <w:tc>
          <w:tcPr>
            <w:tcW w:w="18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26,491 </w:t>
            </w:r>
          </w:p>
        </w:tc>
        <w:tc>
          <w:tcPr>
            <w:tcW w:w="11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34,475 </w:t>
            </w:r>
          </w:p>
        </w:tc>
        <w:tc>
          <w:tcPr>
            <w:tcW w:w="11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19,534 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liability at March 13, 2025</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Unrealized loss in estimated fair value </w:t>
            </w:r>
            <w:r>
              <w:rPr>
                <w:rFonts w:ascii="Arial Narrow;sans-serif" w:hAnsi="Arial Narrow;sans-serif"/>
                <w:b w:val="false"/>
                <w:color w:val="000000"/>
                <w:sz w:val="12"/>
              </w:rPr>
              <w:t>(1)</w:t>
            </w:r>
          </w:p>
        </w:tc>
        <w:tc>
          <w:tcPr>
            <w:tcW w:w="7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14,199 </w:t>
            </w:r>
          </w:p>
        </w:tc>
        <w:tc>
          <w:tcPr>
            <w:tcW w:w="11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35,758 </w:t>
            </w:r>
          </w:p>
        </w:tc>
        <w:tc>
          <w:tcPr>
            <w:tcW w:w="11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21,343 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29,581 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Warrant exercises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end of period</w:t>
            </w:r>
          </w:p>
        </w:tc>
        <w:tc>
          <w:tcPr>
            <w:tcW w:w="18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8"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40,690 </w:t>
            </w:r>
          </w:p>
        </w:tc>
        <w:tc>
          <w:tcPr>
            <w:tcW w:w="114"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8"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53,715 </w:t>
            </w:r>
          </w:p>
        </w:tc>
        <w:tc>
          <w:tcPr>
            <w:tcW w:w="114"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40,690 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53,715 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 xml:space="preserve">The “Unrealized loss in estimated fair value” is recognized in </w:t>
      </w:r>
      <w:r>
        <w:rPr>
          <w:rFonts w:ascii="Arial Narrow;sans-serif" w:hAnsi="Arial Narrow;sans-serif"/>
          <w:b w:val="false"/>
          <w:i/>
          <w:color w:val="000000"/>
          <w:sz w:val="18"/>
        </w:rPr>
        <w:t>(Loss) gain on fair market value of financial instruments, net</w:t>
      </w:r>
      <w:r>
        <w:rPr>
          <w:color w:val="000000"/>
        </w:rPr>
        <w:t xml:space="preserve"> </w:t>
      </w:r>
      <w:r>
        <w:rPr>
          <w:rFonts w:ascii="Arial Narrow;sans-serif" w:hAnsi="Arial Narrow;sans-serif"/>
          <w:b w:val="false"/>
          <w:color w:val="000000"/>
          <w:sz w:val="18"/>
        </w:rPr>
        <w:t>in the Condensed Consolidated Statements of Operations and Comprehensive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35050"/>
                <wp:effectExtent l="0" t="0" r="0" b="0"/>
                <wp:wrapNone/>
                <wp:docPr id="14" name="Frame1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pPr>
      <w:r>
        <w:rPr>
          <w:rFonts w:ascii="Arial Narrow;sans-serif" w:hAnsi="Arial Narrow;sans-serif"/>
          <w:b/>
          <w:color w:val="000000"/>
          <w:sz w:val="20"/>
        </w:rPr>
        <w:t>Government Grant Warrant Liability</w:t>
      </w:r>
      <w:r>
        <w:rPr>
          <w:color w:val="000000"/>
        </w:rPr>
        <w:t xml:space="preserve"> </w:t>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Company valued the Government Grant Warrant liability using a Black-Scholes-Merton simulation model which includes Level 3 unobservable inputs. The following table summarizes the significant inputs used to value the Government Grant Warrant liability as of the dates indicated. See Note 13, “Government Grants – U.S. Department of Commerce CHIPS Act Awards,” for additional information related to the Government Grant Warrant liability.</w:t>
      </w:r>
    </w:p>
    <w:tbl>
      <w:tblPr>
        <w:tblW w:w="2951" w:type="dxa"/>
        <w:jc w:val="left"/>
        <w:tblInd w:w="0" w:type="dxa"/>
        <w:tblLayout w:type="fixed"/>
        <w:tblCellMar>
          <w:top w:w="28" w:type="dxa"/>
          <w:left w:w="28" w:type="dxa"/>
          <w:bottom w:w="28" w:type="dxa"/>
          <w:right w:w="28" w:type="dxa"/>
        </w:tblCellMar>
      </w:tblPr>
      <w:tblGrid>
        <w:gridCol w:w="471"/>
        <w:gridCol w:w="415"/>
        <w:gridCol w:w="419"/>
        <w:gridCol w:w="224"/>
        <w:gridCol w:w="224"/>
        <w:gridCol w:w="226"/>
        <w:gridCol w:w="109"/>
        <w:gridCol w:w="109"/>
        <w:gridCol w:w="109"/>
        <w:gridCol w:w="188"/>
        <w:gridCol w:w="188"/>
        <w:gridCol w:w="269"/>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w:t>
              <w:br/>
              <w:t>2026</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price</w:t>
            </w:r>
          </w:p>
        </w:tc>
        <w:tc>
          <w:tcPr>
            <w:tcW w:w="674"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$21.58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$27.98</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price</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$17.17</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Expected volatility</w:t>
            </w:r>
          </w:p>
        </w:tc>
        <w:tc>
          <w:tcPr>
            <w:tcW w:w="6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79.4%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79.7%</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Risk-free rate</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w:t>
            </w:r>
          </w:p>
        </w:tc>
      </w:tr>
      <w:tr>
        <w:trPr/>
        <w:tc>
          <w:tcPr>
            <w:tcW w:w="13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 yield</w:t>
            </w:r>
          </w:p>
        </w:tc>
        <w:tc>
          <w:tcPr>
            <w:tcW w:w="6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Put term (in years)</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bl>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reconciliation of the Government Grant Warrant liability measured at fair value on a recurring basis for the dates indicated.</w:t>
      </w:r>
    </w:p>
    <w:tbl>
      <w:tblPr>
        <w:tblW w:w="7568" w:type="dxa"/>
        <w:jc w:val="left"/>
        <w:tblInd w:w="0" w:type="dxa"/>
        <w:tblLayout w:type="fixed"/>
        <w:tblCellMar>
          <w:top w:w="28" w:type="dxa"/>
          <w:left w:w="28" w:type="dxa"/>
          <w:bottom w:w="28" w:type="dxa"/>
          <w:right w:w="28" w:type="dxa"/>
        </w:tblCellMar>
      </w:tblPr>
      <w:tblGrid>
        <w:gridCol w:w="124"/>
        <w:gridCol w:w="883"/>
        <w:gridCol w:w="883"/>
        <w:gridCol w:w="888"/>
        <w:gridCol w:w="109"/>
        <w:gridCol w:w="109"/>
        <w:gridCol w:w="3046"/>
        <w:gridCol w:w="109"/>
        <w:gridCol w:w="181"/>
        <w:gridCol w:w="646"/>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and Six Months Ended June 30, 2026</w:t>
            </w:r>
          </w:p>
        </w:tc>
        <w:tc>
          <w:tcPr>
            <w:tcW w:w="1526"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liability at June 3,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Unrealized gain in estimated fair value </w:t>
            </w:r>
            <w:r>
              <w:rPr>
                <w:rFonts w:ascii="Arial Narrow;sans-serif" w:hAnsi="Arial Narrow;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(107,363)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323,499 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 xml:space="preserve">The “Unrealized gain in estimated fair value” is recognized in </w:t>
      </w:r>
      <w:r>
        <w:rPr>
          <w:rFonts w:ascii="Arial Narrow;sans-serif" w:hAnsi="Arial Narrow;sans-serif"/>
          <w:b w:val="false"/>
          <w:i/>
          <w:color w:val="000000"/>
          <w:sz w:val="18"/>
        </w:rPr>
        <w:t>(Loss) gain on fair market value of financial instruments, net</w:t>
      </w:r>
      <w:r>
        <w:rPr>
          <w:color w:val="000000"/>
        </w:rPr>
        <w:t xml:space="preserve"> </w:t>
      </w:r>
      <w:r>
        <w:rPr>
          <w:rFonts w:ascii="Arial Narrow;sans-serif" w:hAnsi="Arial Narrow;sans-serif"/>
          <w:b w:val="false"/>
          <w:color w:val="000000"/>
          <w:sz w:val="18"/>
        </w:rPr>
        <w:t>in the Condensed Consolidated Statements of Operations and Comprehensive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3. Other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Inventories</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Inventories consist of materials, labor, and manufacturing overhead and are stated at the lower of weighted</w:t>
        <w:noBreakHyphen/>
        <w:t>average cost or net realizable value. The following table presents inventories as of the dates indicated.</w:t>
      </w:r>
    </w:p>
    <w:tbl>
      <w:tblPr>
        <w:tblW w:w="3515" w:type="dxa"/>
        <w:jc w:val="left"/>
        <w:tblInd w:w="0" w:type="dxa"/>
        <w:tblLayout w:type="fixed"/>
        <w:tblCellMar>
          <w:top w:w="28" w:type="dxa"/>
          <w:left w:w="28" w:type="dxa"/>
          <w:bottom w:w="28" w:type="dxa"/>
          <w:right w:w="28" w:type="dxa"/>
        </w:tblCellMar>
      </w:tblPr>
      <w:tblGrid>
        <w:gridCol w:w="124"/>
        <w:gridCol w:w="378"/>
        <w:gridCol w:w="378"/>
        <w:gridCol w:w="383"/>
        <w:gridCol w:w="181"/>
        <w:gridCol w:w="571"/>
        <w:gridCol w:w="109"/>
        <w:gridCol w:w="109"/>
        <w:gridCol w:w="109"/>
        <w:gridCol w:w="109"/>
        <w:gridCol w:w="212"/>
        <w:gridCol w:w="671"/>
        <w:gridCol w:w="181"/>
      </w:tblGrid>
      <w:tr>
        <w:trPr/>
        <w:tc>
          <w:tcPr>
            <w:tcW w:w="12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391"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Raw materials</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30,361 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16,391 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Work-in-process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Finished goods</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inventories</w:t>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50,138 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18,535 </w:t>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035050"/>
                <wp:effectExtent l="0" t="0" r="0" b="0"/>
                <wp:wrapNone/>
                <wp:docPr id="15" name="Frame1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Prepaid Expenses and Other Assets, Current</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prepaid expenses and other assets, current as of the dates indicated.</w:t>
      </w:r>
    </w:p>
    <w:tbl>
      <w:tblPr>
        <w:tblW w:w="4552" w:type="dxa"/>
        <w:jc w:val="left"/>
        <w:tblInd w:w="0" w:type="dxa"/>
        <w:tblLayout w:type="fixed"/>
        <w:tblCellMar>
          <w:top w:w="28" w:type="dxa"/>
          <w:left w:w="28" w:type="dxa"/>
          <w:bottom w:w="28" w:type="dxa"/>
          <w:right w:w="28" w:type="dxa"/>
        </w:tblCellMar>
      </w:tblPr>
      <w:tblGrid>
        <w:gridCol w:w="124"/>
        <w:gridCol w:w="724"/>
        <w:gridCol w:w="724"/>
        <w:gridCol w:w="727"/>
        <w:gridCol w:w="181"/>
        <w:gridCol w:w="571"/>
        <w:gridCol w:w="109"/>
        <w:gridCol w:w="109"/>
        <w:gridCol w:w="109"/>
        <w:gridCol w:w="109"/>
        <w:gridCol w:w="232"/>
        <w:gridCol w:w="636"/>
        <w:gridCol w:w="197"/>
      </w:tblGrid>
      <w:tr>
        <w:trPr/>
        <w:tc>
          <w:tcPr>
            <w:tcW w:w="1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392"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Prepaid expenses</w:t>
            </w:r>
          </w:p>
        </w:tc>
        <w:tc>
          <w:tcPr>
            <w:tcW w:w="8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insurance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Engineering and consulting costs</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2,137 </w:t>
            </w:r>
          </w:p>
        </w:tc>
        <w:tc>
          <w:tcPr>
            <w:tcW w:w="19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Supplier advances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prepaid expenses</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2,865 </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5"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5"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Other assets, current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Restricted cash </w:t>
            </w:r>
            <w:r>
              <w:rPr>
                <w:rFonts w:ascii="Arial Narrow;sans-serif" w:hAnsi="Arial Narrow;sans-serif"/>
                <w:b w:val="false"/>
                <w:color w:val="000000"/>
                <w:sz w:val="12"/>
              </w:rPr>
              <w:t>(1)</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64,222 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assets, current</w:t>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73,687 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286 </w:t>
            </w:r>
          </w:p>
        </w:tc>
        <w:tc>
          <w:tcPr>
            <w:tcW w:w="197"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Restricted cash represents funds held in escrow and legally restricted pursuant to the terms of the escrow agreement, which requires the amounts to be reserved for the development of the Blacksburg, South Carolina property.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035050"/>
                <wp:effectExtent l="0" t="0" r="0" b="0"/>
                <wp:wrapNone/>
                <wp:docPr id="16" name="Frame1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Property, Plant and Equipment, Net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pPr>
      <w:r>
        <w:rPr>
          <w:rFonts w:ascii="Arial Narrow;sans-serif" w:hAnsi="Arial Narrow;sans-serif"/>
          <w:b w:val="false"/>
          <w:color w:val="000000"/>
          <w:sz w:val="20"/>
        </w:rPr>
        <w:t>The following table presents the components of the Company’s property, plant and equipment, net, as of the dates indicated. Property, plant and equipment balances include the effects of foreign currency translation adjustments related to the Company’s non</w:t>
        <w:noBreakHyphen/>
        <w:t xml:space="preserve">U.S. operations, which are recorded in </w:t>
      </w:r>
      <w:r>
        <w:rPr>
          <w:rFonts w:ascii="Arial Narrow;sans-serif" w:hAnsi="Arial Narrow;sans-serif"/>
          <w:b w:val="false"/>
          <w:i/>
          <w:color w:val="000000"/>
          <w:sz w:val="20"/>
        </w:rPr>
        <w:t xml:space="preserve">Accumulated other comprehensive (loss) income </w:t>
      </w:r>
      <w:r>
        <w:rPr>
          <w:rFonts w:ascii="Arial Narrow;sans-serif" w:hAnsi="Arial Narrow;sans-serif"/>
          <w:b w:val="false"/>
          <w:color w:val="000000"/>
          <w:sz w:val="20"/>
        </w:rPr>
        <w:t>on the accompanying Condensed Consolidated Balance Sheet.</w:t>
      </w:r>
    </w:p>
    <w:tbl>
      <w:tblPr>
        <w:tblW w:w="6516" w:type="dxa"/>
        <w:jc w:val="left"/>
        <w:tblInd w:w="0" w:type="dxa"/>
        <w:tblLayout w:type="fixed"/>
        <w:tblCellMar>
          <w:top w:w="28" w:type="dxa"/>
          <w:left w:w="28" w:type="dxa"/>
          <w:bottom w:w="28" w:type="dxa"/>
          <w:right w:w="28" w:type="dxa"/>
        </w:tblCellMar>
      </w:tblPr>
      <w:tblGrid>
        <w:gridCol w:w="124"/>
        <w:gridCol w:w="1350"/>
        <w:gridCol w:w="1350"/>
        <w:gridCol w:w="1365"/>
        <w:gridCol w:w="181"/>
        <w:gridCol w:w="646"/>
        <w:gridCol w:w="109"/>
        <w:gridCol w:w="109"/>
        <w:gridCol w:w="109"/>
        <w:gridCol w:w="109"/>
        <w:gridCol w:w="212"/>
        <w:gridCol w:w="671"/>
        <w:gridCol w:w="181"/>
      </w:tblGrid>
      <w:tr>
        <w:trPr/>
        <w:tc>
          <w:tcPr>
            <w:tcW w:w="12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91"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Buildings</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7,038 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Building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Manufacturing equipment</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26,331 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12,404 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Lab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Automobiles</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Furniture &amp; fixtures</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Computer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Construction in progress - Buildings </w:t>
            </w:r>
            <w:r>
              <w:rPr>
                <w:rFonts w:ascii="Arial Narrow;sans-serif" w:hAnsi="Arial Narrow;sans-serif"/>
                <w:b w:val="false"/>
                <w:color w:val="000000"/>
                <w:sz w:val="12"/>
              </w:rPr>
              <w:t>(1)</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54,225 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30,267 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Construction in progress - Magnet plant equipment and other </w:t>
            </w:r>
            <w:r>
              <w:rPr>
                <w:rFonts w:ascii="Arial Narrow;sans-serif" w:hAnsi="Arial Narrow;sans-serif"/>
                <w:b w:val="false"/>
                <w:color w:val="000000"/>
                <w:sz w:val="12"/>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gross</w:t>
            </w:r>
          </w:p>
        </w:tc>
        <w:tc>
          <w:tcPr>
            <w:tcW w:w="82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148,996 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87,046 </w:t>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net</w:t>
            </w:r>
          </w:p>
        </w:tc>
        <w:tc>
          <w:tcPr>
            <w:tcW w:w="82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145,831 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85,406 </w:t>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 right-of-use assets</w:t>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lease-right-of-use assets, net</w:t>
            </w:r>
          </w:p>
        </w:tc>
        <w:tc>
          <w:tcPr>
            <w:tcW w:w="827"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920 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1,043 </w:t>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property, plant and equipment, net</w:t>
            </w:r>
          </w:p>
        </w:tc>
        <w:tc>
          <w:tcPr>
            <w:tcW w:w="181" w:type="dxa"/>
            <w:tcBorders>
              <w:bottom w:val="double" w:sz="5"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bottom w:val="double" w:sz="5"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146,751 </w:t>
            </w:r>
          </w:p>
        </w:tc>
        <w:tc>
          <w:tcPr>
            <w:tcW w:w="109" w:type="dxa"/>
            <w:tcBorders>
              <w:bottom w:val="double" w:sz="5"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5"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bottom w:val="double" w:sz="5"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86,449 </w:t>
            </w:r>
          </w:p>
        </w:tc>
        <w:tc>
          <w:tcPr>
            <w:tcW w:w="181" w:type="dxa"/>
            <w:tcBorders>
              <w:bottom w:val="double" w:sz="5"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Construction in progress assets are placed in service and depreciated upon completion of construction, installation, certification, and when ready for their intended use.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Depreciation and amortization of property, plant and equipment is calculated using the straight</w:t>
        <w:noBreakHyphen/>
        <w:t>line method over the estimated useful lives of the related assets. The following table presents depreciation expense related to the Company’s property, plant and equipment and amortization expense related to the Company’s finance lease right</w:t>
        <w:noBreakHyphen/>
        <w:t>of</w:t>
        <w:noBreakHyphen/>
        <w:t>use assets for the periods indicated.</w:t>
      </w:r>
    </w:p>
    <w:tbl>
      <w:tblPr>
        <w:tblW w:w="7159" w:type="dxa"/>
        <w:jc w:val="left"/>
        <w:tblInd w:w="0" w:type="dxa"/>
        <w:tblLayout w:type="fixed"/>
        <w:tblCellMar>
          <w:top w:w="28" w:type="dxa"/>
          <w:left w:w="28" w:type="dxa"/>
          <w:bottom w:w="28" w:type="dxa"/>
          <w:right w:w="28" w:type="dxa"/>
        </w:tblCellMar>
      </w:tblPr>
      <w:tblGrid>
        <w:gridCol w:w="124"/>
        <w:gridCol w:w="764"/>
        <w:gridCol w:w="764"/>
        <w:gridCol w:w="767"/>
        <w:gridCol w:w="222"/>
        <w:gridCol w:w="610"/>
        <w:gridCol w:w="134"/>
        <w:gridCol w:w="134"/>
        <w:gridCol w:w="134"/>
        <w:gridCol w:w="134"/>
        <w:gridCol w:w="222"/>
        <w:gridCol w:w="463"/>
        <w:gridCol w:w="134"/>
        <w:gridCol w:w="109"/>
        <w:gridCol w:w="109"/>
        <w:gridCol w:w="109"/>
        <w:gridCol w:w="200"/>
        <w:gridCol w:w="548"/>
        <w:gridCol w:w="120"/>
        <w:gridCol w:w="120"/>
        <w:gridCol w:w="120"/>
        <w:gridCol w:w="120"/>
        <w:gridCol w:w="200"/>
        <w:gridCol w:w="415"/>
        <w:gridCol w:w="120"/>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expense</w:t>
            </w:r>
          </w:p>
        </w:tc>
        <w:tc>
          <w:tcPr>
            <w:tcW w:w="22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0"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950 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1,579 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1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expense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depreciation and amortization</w:t>
            </w:r>
          </w:p>
        </w:tc>
        <w:tc>
          <w:tcPr>
            <w:tcW w:w="222"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0"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1,012 </w:t>
            </w:r>
          </w:p>
        </w:tc>
        <w:tc>
          <w:tcPr>
            <w:tcW w:w="134"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3"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134"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8"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1,702 </w:t>
            </w:r>
          </w:p>
        </w:tc>
        <w:tc>
          <w:tcPr>
            <w:tcW w:w="120"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15"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202 </w:t>
            </w:r>
          </w:p>
        </w:tc>
        <w:tc>
          <w:tcPr>
            <w:tcW w:w="120"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035050"/>
                <wp:effectExtent l="0" t="0" r="0" b="0"/>
                <wp:wrapNone/>
                <wp:docPr id="17" name="Frame1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Other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other intangible assets, by major class, as of the dates indicated.</w:t>
      </w:r>
    </w:p>
    <w:tbl>
      <w:tblPr>
        <w:tblW w:w="11302" w:type="dxa"/>
        <w:jc w:val="left"/>
        <w:tblInd w:w="0" w:type="dxa"/>
        <w:tblLayout w:type="fixed"/>
        <w:tblCellMar>
          <w:top w:w="28" w:type="dxa"/>
          <w:left w:w="28" w:type="dxa"/>
          <w:bottom w:w="28" w:type="dxa"/>
          <w:right w:w="28" w:type="dxa"/>
        </w:tblCellMar>
      </w:tblPr>
      <w:tblGrid>
        <w:gridCol w:w="124"/>
        <w:gridCol w:w="294"/>
        <w:gridCol w:w="294"/>
        <w:gridCol w:w="298"/>
        <w:gridCol w:w="109"/>
        <w:gridCol w:w="706"/>
        <w:gridCol w:w="181"/>
        <w:gridCol w:w="571"/>
        <w:gridCol w:w="109"/>
        <w:gridCol w:w="330"/>
        <w:gridCol w:w="330"/>
        <w:gridCol w:w="331"/>
        <w:gridCol w:w="181"/>
        <w:gridCol w:w="496"/>
        <w:gridCol w:w="109"/>
        <w:gridCol w:w="109"/>
        <w:gridCol w:w="109"/>
        <w:gridCol w:w="235"/>
        <w:gridCol w:w="235"/>
        <w:gridCol w:w="236"/>
        <w:gridCol w:w="181"/>
        <w:gridCol w:w="571"/>
        <w:gridCol w:w="109"/>
        <w:gridCol w:w="235"/>
        <w:gridCol w:w="235"/>
        <w:gridCol w:w="236"/>
        <w:gridCol w:w="181"/>
        <w:gridCol w:w="571"/>
        <w:gridCol w:w="109"/>
        <w:gridCol w:w="330"/>
        <w:gridCol w:w="330"/>
        <w:gridCol w:w="331"/>
        <w:gridCol w:w="181"/>
        <w:gridCol w:w="376"/>
        <w:gridCol w:w="109"/>
        <w:gridCol w:w="109"/>
        <w:gridCol w:w="109"/>
        <w:gridCol w:w="235"/>
        <w:gridCol w:w="235"/>
        <w:gridCol w:w="236"/>
        <w:gridCol w:w="181"/>
        <w:gridCol w:w="5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5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 2026</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 2025</w:t>
            </w:r>
          </w:p>
        </w:tc>
        <w:tc>
          <w:tcPr>
            <w:tcW w:w="1830"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Gross Carrying Amount</w:t>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Amortization</w:t>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Net Carrying Amount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Gross Carrying Amount</w:t>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Amortization</w:t>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Net Carrying Amount</w:t>
            </w:r>
          </w:p>
        </w:tc>
        <w:tc>
          <w:tcPr>
            <w:tcW w:w="906"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647"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830"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Trade name</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7,245 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6,943 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7,245 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7,185 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Supplier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33,986 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31,862 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33,986 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33,561 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Know-how</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69,290 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(3,391)</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65,899 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69,290 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68,612 </w:t>
            </w:r>
          </w:p>
        </w:tc>
        <w:tc>
          <w:tcPr>
            <w:tcW w:w="154"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amortization expense related to the Company’s other intangible assets for the periods indicated. There was no intangible amortization for the three and six months ended June 30, 2025.</w:t>
      </w:r>
    </w:p>
    <w:tbl>
      <w:tblPr>
        <w:tblW w:w="9476" w:type="dxa"/>
        <w:jc w:val="left"/>
        <w:tblInd w:w="0" w:type="dxa"/>
        <w:tblLayout w:type="fixed"/>
        <w:tblCellMar>
          <w:top w:w="28" w:type="dxa"/>
          <w:left w:w="28" w:type="dxa"/>
          <w:bottom w:w="28" w:type="dxa"/>
          <w:right w:w="28" w:type="dxa"/>
        </w:tblCellMar>
      </w:tblPr>
      <w:tblGrid>
        <w:gridCol w:w="124"/>
        <w:gridCol w:w="946"/>
        <w:gridCol w:w="946"/>
        <w:gridCol w:w="957"/>
        <w:gridCol w:w="573"/>
        <w:gridCol w:w="1571"/>
        <w:gridCol w:w="345"/>
        <w:gridCol w:w="109"/>
        <w:gridCol w:w="2311"/>
        <w:gridCol w:w="109"/>
        <w:gridCol w:w="109"/>
        <w:gridCol w:w="109"/>
        <w:gridCol w:w="181"/>
        <w:gridCol w:w="496"/>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594"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9" w:type="dxa"/>
            <w:gridSpan w:val="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594"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Trade name</w:t>
            </w:r>
          </w:p>
        </w:tc>
        <w:tc>
          <w:tcPr>
            <w:tcW w:w="57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34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relationships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Supplier relationships</w:t>
            </w:r>
          </w:p>
        </w:tc>
        <w:tc>
          <w:tcPr>
            <w:tcW w:w="214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849 </w:t>
            </w:r>
          </w:p>
        </w:tc>
        <w:tc>
          <w:tcPr>
            <w:tcW w:w="34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Know-how</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amortization of other intangible assets</w:t>
            </w:r>
          </w:p>
        </w:tc>
        <w:tc>
          <w:tcPr>
            <w:tcW w:w="573"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1,356 </w:t>
            </w:r>
          </w:p>
        </w:tc>
        <w:tc>
          <w:tcPr>
            <w:tcW w:w="345"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2,713 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estimated future amortization expense of finite</w:t>
        <w:noBreakHyphen/>
        <w:t>lived intangible assets as of June 30, 2026.</w:t>
      </w:r>
    </w:p>
    <w:tbl>
      <w:tblPr>
        <w:tblW w:w="4499" w:type="dxa"/>
        <w:jc w:val="left"/>
        <w:tblInd w:w="0" w:type="dxa"/>
        <w:tblLayout w:type="fixed"/>
        <w:tblCellMar>
          <w:top w:w="28" w:type="dxa"/>
          <w:left w:w="28" w:type="dxa"/>
          <w:bottom w:w="28" w:type="dxa"/>
          <w:right w:w="28" w:type="dxa"/>
        </w:tblCellMar>
      </w:tblPr>
      <w:tblGrid>
        <w:gridCol w:w="124"/>
        <w:gridCol w:w="634"/>
        <w:gridCol w:w="634"/>
        <w:gridCol w:w="636"/>
        <w:gridCol w:w="109"/>
        <w:gridCol w:w="109"/>
        <w:gridCol w:w="109"/>
        <w:gridCol w:w="426"/>
        <w:gridCol w:w="1351"/>
        <w:gridCol w:w="367"/>
      </w:tblGrid>
      <w:tr>
        <w:trPr/>
        <w:tc>
          <w:tcPr>
            <w:tcW w:w="12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Finite-lived Intangible Assets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2026 (remaining six months)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5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2,715 </w:t>
            </w:r>
          </w:p>
        </w:tc>
        <w:tc>
          <w:tcPr>
            <w:tcW w:w="36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5,428 </w:t>
            </w:r>
          </w:p>
        </w:tc>
        <w:tc>
          <w:tcPr>
            <w:tcW w:w="36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5,428 </w:t>
            </w:r>
          </w:p>
        </w:tc>
        <w:tc>
          <w:tcPr>
            <w:tcW w:w="36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2031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41,472 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estimated amortization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5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65,899 </w:t>
            </w:r>
          </w:p>
        </w:tc>
        <w:tc>
          <w:tcPr>
            <w:tcW w:w="367"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035050"/>
                <wp:effectExtent l="0" t="0" r="0" b="0"/>
                <wp:wrapNone/>
                <wp:docPr id="18" name="Frame1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Accrued Liabilities</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accrued liabilities as of the dates indicated.</w:t>
      </w:r>
    </w:p>
    <w:tbl>
      <w:tblPr>
        <w:tblW w:w="4686" w:type="dxa"/>
        <w:jc w:val="left"/>
        <w:tblInd w:w="0" w:type="dxa"/>
        <w:tblLayout w:type="fixed"/>
        <w:tblCellMar>
          <w:top w:w="28" w:type="dxa"/>
          <w:left w:w="28" w:type="dxa"/>
          <w:bottom w:w="28" w:type="dxa"/>
          <w:right w:w="28" w:type="dxa"/>
        </w:tblCellMar>
      </w:tblPr>
      <w:tblGrid>
        <w:gridCol w:w="124"/>
        <w:gridCol w:w="769"/>
        <w:gridCol w:w="769"/>
        <w:gridCol w:w="772"/>
        <w:gridCol w:w="181"/>
        <w:gridCol w:w="571"/>
        <w:gridCol w:w="109"/>
        <w:gridCol w:w="109"/>
        <w:gridCol w:w="109"/>
        <w:gridCol w:w="109"/>
        <w:gridCol w:w="212"/>
        <w:gridCol w:w="671"/>
        <w:gridCol w:w="181"/>
      </w:tblGrid>
      <w:tr>
        <w:trPr/>
        <w:tc>
          <w:tcPr>
            <w:tcW w:w="12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391"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Payroll and related employee taxes</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2,659 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Construction in progress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Consulting</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883 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Legal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costs</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Asset retirement obligation </w:t>
            </w:r>
            <w:r>
              <w:rPr>
                <w:rFonts w:ascii="Arial Narrow;sans-serif" w:hAnsi="Arial Narrow;sans-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1,861 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accrued liabilities</w:t>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31,679 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14,073 </w:t>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 xml:space="preserve">The Company recorded certain Asset Retirement Obligations (“ARO”), in connection with the Company’s obligation to return its Cheshire, United Kingdom building to its “original condition,” as defined in the lease agreement. The building lease will expire in November 2026 and the estimated cost is expected to be paid at lease expiration. </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ARO activity for the periods indicated. There were no ARO valuation adjustments for the three and six months ended June 30, 2025.</w:t>
      </w:r>
    </w:p>
    <w:tbl>
      <w:tblPr>
        <w:tblW w:w="8382" w:type="dxa"/>
        <w:jc w:val="left"/>
        <w:tblInd w:w="0" w:type="dxa"/>
        <w:tblLayout w:type="fixed"/>
        <w:tblCellMar>
          <w:top w:w="28" w:type="dxa"/>
          <w:left w:w="28" w:type="dxa"/>
          <w:bottom w:w="28" w:type="dxa"/>
          <w:right w:w="28" w:type="dxa"/>
        </w:tblCellMar>
      </w:tblPr>
      <w:tblGrid>
        <w:gridCol w:w="124"/>
        <w:gridCol w:w="624"/>
        <w:gridCol w:w="624"/>
        <w:gridCol w:w="627"/>
        <w:gridCol w:w="674"/>
        <w:gridCol w:w="1403"/>
        <w:gridCol w:w="412"/>
        <w:gridCol w:w="109"/>
        <w:gridCol w:w="2311"/>
        <w:gridCol w:w="109"/>
        <w:gridCol w:w="109"/>
        <w:gridCol w:w="109"/>
        <w:gridCol w:w="181"/>
        <w:gridCol w:w="376"/>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474"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9" w:type="dxa"/>
            <w:gridSpan w:val="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474"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beginning of period</w:t>
            </w:r>
          </w:p>
        </w:tc>
        <w:tc>
          <w:tcPr>
            <w:tcW w:w="67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40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689 </w:t>
            </w:r>
          </w:p>
        </w:tc>
        <w:tc>
          <w:tcPr>
            <w:tcW w:w="41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w:t>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end of period</w:t>
            </w:r>
          </w:p>
        </w:tc>
        <w:tc>
          <w:tcPr>
            <w:tcW w:w="674"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403"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690 </w:t>
            </w:r>
          </w:p>
        </w:tc>
        <w:tc>
          <w:tcPr>
            <w:tcW w:w="412"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color w:val="000000"/>
          <w:sz w:val="20"/>
        </w:rPr>
      </w:pPr>
      <w:r>
        <w:rPr>
          <w:rFonts w:ascii="Arial Narrow;sans-serif" w:hAnsi="Arial Narrow;sans-serif"/>
          <w:b/>
          <w:color w:val="000000"/>
          <w:sz w:val="20"/>
        </w:rPr>
        <w:t>Contract Liabilities</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Company’s contract liabilities consist of customer deposits and deferred revenue when cash payments are received in advance of the Company’s performance. As of June 30, 2026, the Company evaluated its remaining performance obligations associated with its contract liabilities. The related revenue is expected to be recognized as performance obligations are satisfied over the remaining contract terms, with amounts expected to be recognized within the next 12 months classified as contract liabilities, current and amounts expected to be recognized thereafter classified as contract liabilities, non-current.</w:t>
      </w:r>
    </w:p>
    <w:tbl>
      <w:tblPr>
        <w:tblW w:w="4386" w:type="dxa"/>
        <w:jc w:val="left"/>
        <w:tblInd w:w="0" w:type="dxa"/>
        <w:tblLayout w:type="fixed"/>
        <w:tblCellMar>
          <w:top w:w="28" w:type="dxa"/>
          <w:left w:w="28" w:type="dxa"/>
          <w:bottom w:w="28" w:type="dxa"/>
          <w:right w:w="28" w:type="dxa"/>
        </w:tblCellMar>
      </w:tblPr>
      <w:tblGrid>
        <w:gridCol w:w="124"/>
        <w:gridCol w:w="669"/>
        <w:gridCol w:w="669"/>
        <w:gridCol w:w="672"/>
        <w:gridCol w:w="181"/>
        <w:gridCol w:w="571"/>
        <w:gridCol w:w="109"/>
        <w:gridCol w:w="109"/>
        <w:gridCol w:w="109"/>
        <w:gridCol w:w="109"/>
        <w:gridCol w:w="212"/>
        <w:gridCol w:w="671"/>
        <w:gridCol w:w="181"/>
      </w:tblGrid>
      <w:tr>
        <w:trPr/>
        <w:tc>
          <w:tcPr>
            <w:tcW w:w="12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391"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 liabilities, current</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10,500 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 liabilities,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contract liabilities</w:t>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10,930 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10,500 </w:t>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035050"/>
                <wp:effectExtent l="0" t="0" r="0" b="0"/>
                <wp:wrapNone/>
                <wp:docPr id="19" name="Frame1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activity related to contract liabilities for the dates indicated. There was no contract liability activity 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124"/>
        <w:gridCol w:w="1424"/>
        <w:gridCol w:w="1380"/>
        <w:gridCol w:w="1387"/>
        <w:gridCol w:w="450"/>
        <w:gridCol w:w="1422"/>
        <w:gridCol w:w="271"/>
        <w:gridCol w:w="109"/>
        <w:gridCol w:w="1965"/>
        <w:gridCol w:w="109"/>
        <w:gridCol w:w="109"/>
        <w:gridCol w:w="109"/>
        <w:gridCol w:w="181"/>
        <w:gridCol w:w="571"/>
        <w:gridCol w:w="109"/>
        <w:gridCol w:w="10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673"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673"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beginning of period</w:t>
            </w:r>
          </w:p>
        </w:tc>
        <w:tc>
          <w:tcPr>
            <w:tcW w:w="45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42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10,377 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 liabilities related to acquisition</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 recognized related to amounts included in balance, beginning of period</w:t>
            </w:r>
          </w:p>
        </w:tc>
        <w:tc>
          <w:tcPr>
            <w:tcW w:w="187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(798)</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received, excluding amounts recognized as revenue during the period</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Translation adjustments</w:t>
            </w:r>
          </w:p>
        </w:tc>
        <w:tc>
          <w:tcPr>
            <w:tcW w:w="187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end of period</w:t>
            </w:r>
          </w:p>
        </w:tc>
        <w:tc>
          <w:tcPr>
            <w:tcW w:w="45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422"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10,930 </w:t>
            </w:r>
          </w:p>
        </w:tc>
        <w:tc>
          <w:tcPr>
            <w:tcW w:w="2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10,930 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91"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Notes Payable</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notes payable as of the dates indicated.</w:t>
      </w:r>
    </w:p>
    <w:tbl>
      <w:tblPr>
        <w:tblW w:w="3621" w:type="dxa"/>
        <w:jc w:val="left"/>
        <w:tblInd w:w="0" w:type="dxa"/>
        <w:tblLayout w:type="fixed"/>
        <w:tblCellMar>
          <w:top w:w="28" w:type="dxa"/>
          <w:left w:w="28" w:type="dxa"/>
          <w:bottom w:w="28" w:type="dxa"/>
          <w:right w:w="28" w:type="dxa"/>
        </w:tblCellMar>
      </w:tblPr>
      <w:tblGrid>
        <w:gridCol w:w="124"/>
        <w:gridCol w:w="469"/>
        <w:gridCol w:w="469"/>
        <w:gridCol w:w="471"/>
        <w:gridCol w:w="181"/>
        <w:gridCol w:w="406"/>
        <w:gridCol w:w="109"/>
        <w:gridCol w:w="109"/>
        <w:gridCol w:w="109"/>
        <w:gridCol w:w="109"/>
        <w:gridCol w:w="232"/>
        <w:gridCol w:w="636"/>
        <w:gridCol w:w="197"/>
      </w:tblGrid>
      <w:tr>
        <w:trPr/>
        <w:tc>
          <w:tcPr>
            <w:tcW w:w="12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92"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Barclays Trade Loan</w:t>
            </w:r>
          </w:p>
        </w:tc>
        <w:tc>
          <w:tcPr>
            <w:tcW w:w="181" w:type="dxa"/>
            <w:tcBorders>
              <w:bottom w:val="double" w:sz="5"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bottom w:val="double" w:sz="5"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5"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double" w:sz="5"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bottom w:val="double" w:sz="5"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1,849 </w:t>
            </w:r>
          </w:p>
        </w:tc>
        <w:tc>
          <w:tcPr>
            <w:tcW w:w="197" w:type="dxa"/>
            <w:tcBorders>
              <w:bottom w:val="double" w:sz="5"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February 13, 2026, the Company repaid the outstanding Barclays Trade Loan balance in full, including accrued interest, to Barclays Bank PLC, and the loan was cancelled upon repayment.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interest expense related to the Company’s notes payable for the periods indicated. There was no interest expense related to the Company’s notes payable during the three months ended June 30, 2026 and 2025.</w:t>
      </w:r>
    </w:p>
    <w:tbl>
      <w:tblPr>
        <w:tblW w:w="5062" w:type="dxa"/>
        <w:jc w:val="left"/>
        <w:tblInd w:w="0" w:type="dxa"/>
        <w:tblLayout w:type="fixed"/>
        <w:tblCellMar>
          <w:top w:w="28" w:type="dxa"/>
          <w:left w:w="28" w:type="dxa"/>
          <w:bottom w:w="28" w:type="dxa"/>
          <w:right w:w="28" w:type="dxa"/>
        </w:tblCellMar>
      </w:tblPr>
      <w:tblGrid>
        <w:gridCol w:w="124"/>
        <w:gridCol w:w="524"/>
        <w:gridCol w:w="524"/>
        <w:gridCol w:w="527"/>
        <w:gridCol w:w="109"/>
        <w:gridCol w:w="109"/>
        <w:gridCol w:w="234"/>
        <w:gridCol w:w="234"/>
        <w:gridCol w:w="389"/>
        <w:gridCol w:w="873"/>
        <w:gridCol w:w="234"/>
        <w:gridCol w:w="109"/>
        <w:gridCol w:w="109"/>
        <w:gridCol w:w="109"/>
        <w:gridCol w:w="181"/>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1181"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7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Hatch Note </w:t>
            </w:r>
            <w:r>
              <w:rPr>
                <w:rFonts w:ascii="Arial Narrow;sans-serif" w:hAnsi="Arial Narrow;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7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0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Barclays Trade Loan </w:t>
            </w:r>
            <w:r>
              <w:rPr>
                <w:rFonts w:ascii="Arial Narrow;sans-serif" w:hAnsi="Arial Narrow;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73"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234"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0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The Hatch Note was extinguished on March 13, 2025.</w:t>
      </w:r>
    </w:p>
    <w:p>
      <w:pPr>
        <w:pStyle w:val="TextBody"/>
        <w:bidi w:val="0"/>
        <w:spacing w:lineRule="auto" w:line="288" w:before="0" w:after="0"/>
        <w:ind w:left="0" w:right="0" w:hanging="360"/>
        <w:jc w:val="both"/>
        <w:rPr/>
      </w:pPr>
      <w:r>
        <w:rPr>
          <w:rFonts w:ascii="Arial Narrow;sans-serif" w:hAnsi="Arial Narrow;sans-serif"/>
          <w:b w:val="false"/>
          <w:color w:val="000000"/>
          <w:sz w:val="12"/>
        </w:rPr>
        <w:t>(2)</w:t>
      </w:r>
      <w:r>
        <w:rPr>
          <w:rFonts w:ascii="Arial Narrow;sans-serif" w:hAnsi="Arial Narrow;sans-serif"/>
          <w:b w:val="false"/>
          <w:color w:val="000000"/>
          <w:sz w:val="18"/>
        </w:rPr>
        <w:t>The Barclays Trade Loan was repaid in full on February 13, 2026.</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Supplemental Cash Flow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Cash and Non-cash Transactions</w:t>
      </w:r>
    </w:p>
    <w:tbl>
      <w:tblPr>
        <w:tblW w:w="9082" w:type="dxa"/>
        <w:jc w:val="center"/>
        <w:tblInd w:w="0" w:type="dxa"/>
        <w:tblLayout w:type="fixed"/>
        <w:tblCellMar>
          <w:top w:w="28" w:type="dxa"/>
          <w:left w:w="28" w:type="dxa"/>
          <w:bottom w:w="28" w:type="dxa"/>
          <w:right w:w="28" w:type="dxa"/>
        </w:tblCellMar>
      </w:tblPr>
      <w:tblGrid>
        <w:gridCol w:w="124"/>
        <w:gridCol w:w="1828"/>
        <w:gridCol w:w="1828"/>
        <w:gridCol w:w="1834"/>
        <w:gridCol w:w="109"/>
        <w:gridCol w:w="109"/>
        <w:gridCol w:w="213"/>
        <w:gridCol w:w="213"/>
        <w:gridCol w:w="354"/>
        <w:gridCol w:w="971"/>
        <w:gridCol w:w="213"/>
        <w:gridCol w:w="109"/>
        <w:gridCol w:w="109"/>
        <w:gridCol w:w="109"/>
        <w:gridCol w:w="181"/>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1286"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Non-cash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property and equipment in accounts payable and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USARE LLC Convertible Preferred unit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right of use assets obtained in exchange for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liabilities arising from obtaining right of 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2,000 </w:t>
            </w:r>
          </w:p>
        </w:tc>
        <w:tc>
          <w:tcPr>
            <w:tcW w:w="2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Government Grant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430,862 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035050"/>
                <wp:effectExtent l="0" t="0" r="0" b="0"/>
                <wp:wrapNone/>
                <wp:docPr id="20" name="Frame1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Reconciliation of Cash, Cash Equivalents and Restricted Cash</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Condensed Consolidated Statements of Cash Flows explain the changes in the total of cash and cash equivalents, and restricted cash. The following table presents a reconciliation of cash and cash equivalents, and restricted cash reported for each period within the Condensed Consolidated Balance Sheets and the Condensed Consolidated Statements of Cash Flows that sum to the total of such amounts.</w:t>
      </w:r>
    </w:p>
    <w:tbl>
      <w:tblPr>
        <w:tblW w:w="7119" w:type="dxa"/>
        <w:jc w:val="left"/>
        <w:tblInd w:w="0" w:type="dxa"/>
        <w:tblLayout w:type="fixed"/>
        <w:tblCellMar>
          <w:top w:w="28" w:type="dxa"/>
          <w:left w:w="28" w:type="dxa"/>
          <w:bottom w:w="28" w:type="dxa"/>
          <w:right w:w="28" w:type="dxa"/>
        </w:tblCellMar>
      </w:tblPr>
      <w:tblGrid>
        <w:gridCol w:w="124"/>
        <w:gridCol w:w="1094"/>
        <w:gridCol w:w="1094"/>
        <w:gridCol w:w="1097"/>
        <w:gridCol w:w="181"/>
        <w:gridCol w:w="766"/>
        <w:gridCol w:w="109"/>
        <w:gridCol w:w="109"/>
        <w:gridCol w:w="109"/>
        <w:gridCol w:w="109"/>
        <w:gridCol w:w="181"/>
        <w:gridCol w:w="646"/>
        <w:gridCol w:w="109"/>
        <w:gridCol w:w="109"/>
        <w:gridCol w:w="109"/>
        <w:gridCol w:w="109"/>
        <w:gridCol w:w="196"/>
        <w:gridCol w:w="701"/>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2654" w:type="dxa"/>
            <w:gridSpan w:val="1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1,530,147 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121,791 </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359,925 </w:t>
            </w:r>
          </w:p>
        </w:tc>
        <w:tc>
          <w:tcPr>
            <w:tcW w:w="167"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 (included in Other assets, 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w:t>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1,594,369 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121,791 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359,925 </w:t>
            </w:r>
          </w:p>
        </w:tc>
        <w:tc>
          <w:tcPr>
            <w:tcW w:w="167"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4. Variable Interest Entity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Round Top Mountain Development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Round Top Mountain Development, LLC (“RTMD”) is a variable interest entity (“VIE””), has mining rights at Round Top Mountain in the State of Texas, and is developing processing technology to process the rare earth minerals to be mined at Round Top Mountain.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May 17, 2021, the Company completed the acquisition of 80% of the equity interests of RTMD, pursuant to a contribution agreement among the Company, Texas Mineral Resources Corp. (“TMRC”), and RTMD, whereby TMRC and the Company contributed their respective rights and interests in Round Top Mountain to RTMD in exchange for equity ownership. Concurrently, the Company, TMRC, and RTMD entered into a limited liability company agreement of RTMD which documented the governance of RTMD. This acquisition resulted in the consolidation of RTMD and the recognition of a noncontrolling interest representing TMRC’s equity interest.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March 4, 2026, the Company entered into a definitive Agreement and Plan of Merger with TMRC. On August 7, 2026, the Company closed the acquisition of TMRC, to which the Company acquired 100% of the outstanding shares of TMRC. The transaction is valued at approximately $73.9 million based on the closing price of the Company’s common stock on the August 7, 2026. The aggregate merger consideration consists of approximately 3.8 million shares of the Company’s common stock, with cash paid in lieu of fractional shares.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Subsequent to the closing, the Company will be the sole operator and 100% economic beneficiary of the “Round Top Project,” which consists of our operations and rights related to Round Top Mountain and the Round Top Mountain heavy rare earth element (“HREE”) metals deposit (the “Round Top Deposit”). The transaction is intended to secure full ownership control of the project, and streamline operations, governance and decision-making.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Under the amended and restated limited liability company agreement of RTMD, prior to the above forementioned acquisition of TMRC, in the event that TMRC does not fund its share of mandatory capital contributions called for by the Company as the manager of RTMD, the Company is obligated to cover the shortfall by making additional capital contributions to RTMD (or in the event that the Company does not fund, the capital call will be withdrawn). If the Company does fund the capital contribution, additional equity interests in RTMD will be issued to the Company and TMRC will be proportionally diluted in accordance with the terms of the amended and restated limited liability company agreement. TMRC’s failure to fund its share of mandatory capital contributions called under the agreement during the six months ended June 30, 2026 has caused the Company’s ownership interest in RTMD to be increased by 40 basis points.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035050"/>
                <wp:effectExtent l="0" t="0" r="0" b="0"/>
                <wp:wrapNone/>
                <wp:docPr id="21" name="Frame2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ownership percentages of the Company and TMRC and the changes in ownership percentages as of the dates indicated.</w:t>
      </w:r>
    </w:p>
    <w:tbl>
      <w:tblPr>
        <w:tblW w:w="6024" w:type="dxa"/>
        <w:jc w:val="left"/>
        <w:tblInd w:w="0" w:type="dxa"/>
        <w:tblLayout w:type="fixed"/>
        <w:tblCellMar>
          <w:top w:w="28" w:type="dxa"/>
          <w:left w:w="28" w:type="dxa"/>
          <w:bottom w:w="28" w:type="dxa"/>
          <w:right w:w="28" w:type="dxa"/>
        </w:tblCellMar>
      </w:tblPr>
      <w:tblGrid>
        <w:gridCol w:w="124"/>
        <w:gridCol w:w="698"/>
        <w:gridCol w:w="698"/>
        <w:gridCol w:w="703"/>
        <w:gridCol w:w="224"/>
        <w:gridCol w:w="224"/>
        <w:gridCol w:w="226"/>
        <w:gridCol w:w="109"/>
        <w:gridCol w:w="109"/>
        <w:gridCol w:w="109"/>
        <w:gridCol w:w="339"/>
        <w:gridCol w:w="339"/>
        <w:gridCol w:w="341"/>
        <w:gridCol w:w="109"/>
        <w:gridCol w:w="109"/>
        <w:gridCol w:w="109"/>
        <w:gridCol w:w="425"/>
        <w:gridCol w:w="425"/>
        <w:gridCol w:w="604"/>
      </w:tblGrid>
      <w:tr>
        <w:trPr/>
        <w:tc>
          <w:tcPr>
            <w:tcW w:w="12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781"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Ownership Change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(Basis points)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USA Rare Earth, Inc.</w:t>
            </w:r>
          </w:p>
        </w:tc>
        <w:tc>
          <w:tcPr>
            <w:tcW w:w="6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81.7%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81.3%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Texas Mineral Resources Corp.</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assets and liabilities of RTMD that are included in the Company’s Condensed Consolidated Balance Sheets as of the dates indicated.</w:t>
      </w:r>
    </w:p>
    <w:tbl>
      <w:tblPr>
        <w:tblW w:w="4686" w:type="dxa"/>
        <w:jc w:val="left"/>
        <w:tblInd w:w="0" w:type="dxa"/>
        <w:tblLayout w:type="fixed"/>
        <w:tblCellMar>
          <w:top w:w="28" w:type="dxa"/>
          <w:left w:w="28" w:type="dxa"/>
          <w:bottom w:w="28" w:type="dxa"/>
          <w:right w:w="28" w:type="dxa"/>
        </w:tblCellMar>
      </w:tblPr>
      <w:tblGrid>
        <w:gridCol w:w="124"/>
        <w:gridCol w:w="766"/>
        <w:gridCol w:w="766"/>
        <w:gridCol w:w="778"/>
        <w:gridCol w:w="181"/>
        <w:gridCol w:w="571"/>
        <w:gridCol w:w="109"/>
        <w:gridCol w:w="109"/>
        <w:gridCol w:w="109"/>
        <w:gridCol w:w="109"/>
        <w:gridCol w:w="212"/>
        <w:gridCol w:w="671"/>
        <w:gridCol w:w="181"/>
      </w:tblGrid>
      <w:tr>
        <w:trPr/>
        <w:tc>
          <w:tcPr>
            <w:tcW w:w="1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391"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Mineral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plant and equipment, net</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Equipment deposits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non-current</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18,032 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leases, current</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137 </w:t>
            </w:r>
          </w:p>
        </w:tc>
        <w:tc>
          <w:tcPr>
            <w:tcW w:w="18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Finance leases,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4,003 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852 </w:t>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RTMD did not record depletion expense for the mineral interests for the three and six months ended June 30, 2026 and 2025.</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RTMD’s creditors have no recourse against the Company for the RTMD consolidated liabilities included within the Company’s Condensed Consolidated Balance Sheets as of June 30, 2026 and December 31, 2025.</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assets of the consolidated VIE can only be used to settle the obligations of the consolidated VIE and not the obligations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035050"/>
                <wp:effectExtent l="0" t="0" r="0" b="0"/>
                <wp:wrapNone/>
                <wp:docPr id="22" name="Frame2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5. Commitments and Contingencies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Potential Future Environmental Contingency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Company's planned exploration and development activities are subject to various federal and state laws and regulations governing the protection of the environment. These laws and regulations are continually changing and generally have become more restrictive. The Company conducts its operations to protect public health and the environment and believes its current operations are materially in compliance with all applicable laws and regulations. As the Company's mining activities have not yet commenced, the Company has made, and expects to make, expenditures to comply with applicable environmental laws and regulations. The ultimate amount of reclamation and site-restoration costs to be incurred for future mining operations is unknown and uncertain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From time to time, the Company may become subject to legal proceedings, claims or litigation arising in the ordinary course of business. In addition, the Company may receive notices alleging infringement of patents or other intellectual property rights. The outcomes of any legal proceedings, claims, notices or litigation are subject to uncertainty, and any claims against the Company, whether meritorious or not, can be time-consuming, result in costly litigation, require significant management time, create negative perceptions with communities, stakeholders, and government agencies and result in the diversion of significant operational resources. If an unfavorable outcome was to occur in any proceeding, claim or litigation, the Company could be adversely affected in the period in which they are resolved and the impact could be material to the Company’s business, financial condition, cash flow or results of operations, depending on the specific circumstances of the outcome. The Company accrues loss contingencies when it is both probable that the Company will incur the loss and when it can reasonably estimate the amount of the loss or range of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Kelley Complaint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October 16, 2025, Jill Kelley filed an action in New York Supreme Court against USA Rare Earth, LLC (Case No. 659163/2025 (N.Y. Sup.)) alleging a breach of a 2019 Consulting Agreement resulting from a purported partial payment of the obligations thereunder. Kelley also asserts claims for breach of a duty of good faith and fair dealing and unjust enrichment based on the same conduct underlying the alleged breach of the Consulting Agreement.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During the first quarter of 2026, the Company proposed to settle the matter. The Company determined that the proposed settlement consideration, consisting of cash, cash payments in lieu of equity awards, and interest, was both probable and reasonably estimable and, accordingly, recorded an estimated loss contingency of approximately $0.4 million in the accompanying Condensed Consolidated Balance Sheet. Subsequent to June 30, 2026 and through the date of this Report, the settlement agreement has not been finalized. Any settlement, if consummated, will not constitute an admission of liability by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MP Materials Corp.</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May 22, 2026, MP Materials Corp., MP Magnetics LLC, and MP Mine Operations LLC (collectively, “Plaintiffs”) filed an action in the Business Court of Texas, Eighth Division against USA Rare Earth, Inc., its Director of Magnet Operations, Kevin Elkins, and FOM Technologies Inc. (Case No. 26-BC08A-0018), alleging misappropriation of trade secrets under the Texas Uniform Trade Secrets Act, breach of contract, tortious interference, and unjust enrichment. Plaintiffs seek a temporary and permanent injunction against further alleged use and possession of their allegedly protected technology, unspecified monetary damages, and attorneys’ fees. The Company disputes the allegations and intends to vigorously defend against such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035050"/>
                <wp:effectExtent l="0" t="0" r="0" b="0"/>
                <wp:wrapNone/>
                <wp:docPr id="23" name="Frame2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Leases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 xml:space="preserve">On December 17, 2025, the Company entered into a lease for office and warehouse space in Wheat Ridge, Colorado, to support the Company’s research and development activities. The lease commenced on January 1, 2026 and expires on March 31, 2028. Total minimum lease payments over the lease term are $224 thousand, excluding variable costs such as taxes and common area maintenance. Under Accounting Standards Codification (“ASC”) 842, </w:t>
      </w:r>
      <w:r>
        <w:rPr>
          <w:rFonts w:ascii="Arial Narrow;sans-serif" w:hAnsi="Arial Narrow;sans-serif"/>
          <w:b w:val="false"/>
          <w:i/>
          <w:color w:val="000000"/>
          <w:sz w:val="20"/>
        </w:rPr>
        <w:t xml:space="preserve">Leases </w:t>
      </w:r>
      <w:r>
        <w:rPr>
          <w:rFonts w:ascii="Arial Narrow;sans-serif" w:hAnsi="Arial Narrow;sans-serif"/>
          <w:b w:val="false"/>
          <w:color w:val="000000"/>
          <w:sz w:val="20"/>
        </w:rPr>
        <w:t>(“ASC 842”)</w:t>
      </w:r>
      <w:r>
        <w:rPr>
          <w:rFonts w:ascii="Arial Narrow;sans-serif" w:hAnsi="Arial Narrow;sans-serif"/>
          <w:b w:val="false"/>
          <w:i/>
          <w:color w:val="000000"/>
          <w:sz w:val="20"/>
        </w:rPr>
        <w:t>,</w:t>
      </w:r>
      <w:r>
        <w:rPr>
          <w:color w:val="000000"/>
        </w:rPr>
        <w:t xml:space="preserve"> </w:t>
      </w:r>
      <w:r>
        <w:rPr>
          <w:rFonts w:ascii="Arial Narrow;sans-serif" w:hAnsi="Arial Narrow;sans-serif"/>
          <w:b w:val="false"/>
          <w:color w:val="000000"/>
          <w:sz w:val="20"/>
        </w:rPr>
        <w:t>a right</w:t>
        <w:noBreakHyphen/>
        <w:t>of</w:t>
        <w:noBreakHyphen/>
        <w:t>use asset and lease liability have been recognized as of January 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February 27, 2026, the Company entered into a non-cancelable operating lease for office space in Washington, D.C. to support general and administrative functions. The Company obtained control of the premises on April 1, 2026 for the purpose of performing leasehold improvements, which represents the lease commencement date under ASC 842. While the lease commenced on April 1, 2026, fixed rent payments commence on July 1, 2026, and the lease expires on August 31, 2032. Total minimum lease payments over the lease term are $2.5 million, excluding variable costs such as taxes and common area maintenance. A right</w:t>
        <w:noBreakHyphen/>
        <w:t>of</w:t>
        <w:noBreakHyphen/>
        <w:t>use asset and lease liability were recognized as of April 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Purchase Commitments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enters into non-cancelable purchase orders in the ordinary course of business for inventory and capital equipment. Commitments for inventory are generally short-term in nature. Capital equipment commitments are generally fulfilled within one year, with certain long lead time items extending beyond one year. As of June 30, 2026, the Company had open equipment purchase orders of $14.7 million which will be fulfilled later than one year from the reporting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6. Mezzanine and Stockholders' Equity</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number of shares of Common Stock and Preferred Stock authorized and outstanding as of the dates indicated.</w:t>
      </w:r>
    </w:p>
    <w:tbl>
      <w:tblPr>
        <w:tblW w:w="8931" w:type="dxa"/>
        <w:jc w:val="left"/>
        <w:tblInd w:w="0" w:type="dxa"/>
        <w:tblLayout w:type="fixed"/>
        <w:tblCellMar>
          <w:top w:w="28" w:type="dxa"/>
          <w:left w:w="28" w:type="dxa"/>
          <w:bottom w:w="28" w:type="dxa"/>
          <w:right w:w="28" w:type="dxa"/>
        </w:tblCellMar>
      </w:tblPr>
      <w:tblGrid>
        <w:gridCol w:w="124"/>
        <w:gridCol w:w="1233"/>
        <w:gridCol w:w="1233"/>
        <w:gridCol w:w="1239"/>
        <w:gridCol w:w="109"/>
        <w:gridCol w:w="109"/>
        <w:gridCol w:w="109"/>
        <w:gridCol w:w="323"/>
        <w:gridCol w:w="323"/>
        <w:gridCol w:w="291"/>
        <w:gridCol w:w="109"/>
        <w:gridCol w:w="109"/>
        <w:gridCol w:w="109"/>
        <w:gridCol w:w="249"/>
        <w:gridCol w:w="249"/>
        <w:gridCol w:w="251"/>
        <w:gridCol w:w="109"/>
        <w:gridCol w:w="109"/>
        <w:gridCol w:w="109"/>
        <w:gridCol w:w="323"/>
        <w:gridCol w:w="323"/>
        <w:gridCol w:w="225"/>
        <w:gridCol w:w="159"/>
        <w:gridCol w:w="159"/>
        <w:gridCol w:w="159"/>
        <w:gridCol w:w="323"/>
        <w:gridCol w:w="323"/>
        <w:gridCol w:w="441"/>
      </w:tblGrid>
      <w:tr>
        <w:trPr/>
        <w:tc>
          <w:tcPr>
            <w:tcW w:w="12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 Outstanding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June 30,</w:t>
              <w:br/>
              <w:t>2026</w:t>
            </w:r>
          </w:p>
        </w:tc>
        <w:tc>
          <w:tcPr>
            <w:tcW w:w="4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par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750,000 </w:t>
            </w:r>
          </w:p>
        </w:tc>
        <w:tc>
          <w:tcPr>
            <w:tcW w:w="2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$0.0001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244,671 </w:t>
            </w:r>
          </w:p>
        </w:tc>
        <w:tc>
          <w:tcPr>
            <w:tcW w:w="2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148,055 </w:t>
            </w:r>
          </w:p>
        </w:tc>
        <w:tc>
          <w:tcPr>
            <w:tcW w:w="4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12% Series A Cumulative Convertible Preferred Stock </w:t>
            </w:r>
            <w:r>
              <w:rPr>
                <w:rFonts w:ascii="Arial Narrow;sans-serif" w:hAnsi="Arial Narrow;sans-serif"/>
                <w:b w:val="false"/>
                <w:color w:val="000000"/>
                <w:sz w:val="12"/>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15,000 </w:t>
            </w:r>
          </w:p>
        </w:tc>
        <w:tc>
          <w:tcPr>
            <w:tcW w:w="29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$0.0001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2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4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Undesignated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preferred stock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50,000 </w:t>
            </w:r>
          </w:p>
        </w:tc>
        <w:tc>
          <w:tcPr>
            <w:tcW w:w="29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$0.0001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225"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1,224 </w:t>
            </w:r>
          </w:p>
        </w:tc>
        <w:tc>
          <w:tcPr>
            <w:tcW w:w="44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authorized</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5" w:space="0" w:color="000000"/>
            </w:tcBorders>
            <w:shd w:fill="BFE4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800,000 </w:t>
            </w:r>
          </w:p>
        </w:tc>
        <w:tc>
          <w:tcPr>
            <w:tcW w:w="291" w:type="dxa"/>
            <w:tcBorders>
              <w:bottom w:val="double" w:sz="5" w:space="0" w:color="000000"/>
            </w:tcBorders>
            <w:shd w:fill="BFE4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The liquidation value was $10.3 million and $8.9 million on June 30, 2026 and December 31,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$1.50 Billion Private Investment In Public Equity (“PIPE”)</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On January 27, 2026, the Company closed a $1.50 billion private placement in the form of a PIPE (the “$1.50B PIPE”) with multiple investors. The Company issued 69.8 million shares of common stock on January 28, 2026 for gross proceeds of $1.50 billion and received net proceeds of $1.45 billion after deducting financing costs. The net proceeds are included in </w:t>
      </w:r>
      <w:r>
        <w:rPr>
          <w:rFonts w:ascii="Arial Narrow;sans-serif" w:hAnsi="Arial Narrow;sans-serif"/>
          <w:b w:val="false"/>
          <w:i/>
          <w:color w:val="000000"/>
          <w:sz w:val="20"/>
        </w:rPr>
        <w:t>Cash and cash equivalents</w:t>
      </w:r>
      <w:r>
        <w:rPr>
          <w:rFonts w:ascii="Arial Narrow;sans-serif" w:hAnsi="Arial Narrow;sans-serif"/>
          <w:b w:val="false"/>
          <w:color w:val="000000"/>
          <w:sz w:val="20"/>
        </w:rPr>
        <w:t xml:space="preserve">, and the 69.8 million shares issued are reflected in </w:t>
      </w:r>
      <w:r>
        <w:rPr>
          <w:rFonts w:ascii="Arial Narrow;sans-serif" w:hAnsi="Arial Narrow;sans-serif"/>
          <w:b w:val="false"/>
          <w:i/>
          <w:color w:val="000000"/>
          <w:sz w:val="20"/>
        </w:rPr>
        <w:t>Common stock</w:t>
      </w:r>
      <w:r>
        <w:rPr>
          <w:color w:val="000000"/>
        </w:rPr>
        <w:t xml:space="preserve"> </w:t>
      </w:r>
      <w:r>
        <w:rPr>
          <w:rFonts w:ascii="Arial Narrow;sans-serif" w:hAnsi="Arial Narrow;sans-serif"/>
          <w:b w:val="false"/>
          <w:color w:val="000000"/>
          <w:sz w:val="20"/>
        </w:rPr>
        <w:t xml:space="preserve">and </w:t>
      </w:r>
      <w:r>
        <w:rPr>
          <w:rFonts w:ascii="Arial Narrow;sans-serif" w:hAnsi="Arial Narrow;sans-serif"/>
          <w:b w:val="false"/>
          <w:i/>
          <w:color w:val="000000"/>
          <w:sz w:val="20"/>
        </w:rPr>
        <w:t>Additional paid-in capital</w:t>
      </w:r>
      <w:r>
        <w:rPr>
          <w:rFonts w:ascii="Arial Narrow;sans-serif" w:hAnsi="Arial Narrow;sans-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U.S. Department of Commerce CHIPS Act Agreements</w:t>
      </w:r>
    </w:p>
    <w:p>
      <w:pPr>
        <w:pStyle w:val="TextBody"/>
        <w:bidi w:val="0"/>
        <w:spacing w:before="0" w:after="0"/>
        <w:jc w:val="left"/>
        <w:rPr/>
      </w:pPr>
      <w:r>
        <w:rPr/>
      </w:r>
    </w:p>
    <w:p>
      <w:pPr>
        <w:pStyle w:val="TextBody"/>
        <w:bidi w:val="0"/>
        <w:spacing w:lineRule="auto" w:line="288" w:before="0" w:after="0"/>
        <w:jc w:val="both"/>
        <w:rPr/>
      </w:pPr>
      <w:r>
        <w:rPr>
          <w:rFonts w:ascii="Arial Narrow;sans-serif" w:hAnsi="Arial Narrow;sans-serif"/>
          <w:b w:val="false"/>
          <w:color w:val="000000"/>
          <w:sz w:val="20"/>
        </w:rPr>
        <w:t xml:space="preserve">On June 3, 2026, in connection with the Company's CHIPS Act agreements with the U.S. Department of Commerce (the “Dept. of Commerce”), the Company issued 16,132,790 shares of common stock and warrants to purchase 17,600,584 shares of common stock. </w:t>
      </w:r>
      <w:hyperlink w:anchor="i5f43db688c2c433f9d412b16efe97020_11278">
        <w:r>
          <w:rPr>
            <w:rStyle w:val="InternetLink"/>
            <w:rFonts w:ascii="Arial Narrow;sans-serif" w:hAnsi="Arial Narrow;sans-serif"/>
            <w:b w:val="false"/>
            <w:strike w:val="false"/>
            <w:dstrike w:val="false"/>
            <w:color w:val="000000"/>
            <w:sz w:val="20"/>
            <w:u w:val="none"/>
            <w:effect w:val="none"/>
          </w:rPr>
          <w:t>See Note</w:t>
        </w:r>
      </w:hyperlink>
      <w:r>
        <w:rPr>
          <w:rFonts w:ascii="Arial Narrow;sans-serif" w:hAnsi="Arial Narrow;sans-serif"/>
          <w:b w:val="false"/>
          <w:color w:val="000000"/>
          <w:sz w:val="20"/>
        </w:rPr>
        <w:t xml:space="preserve"> 13, “Government Grants – U.S. Department of Commerce CHIPS Act Awards,” for additional information regarding these instruments and the related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035050"/>
                <wp:effectExtent l="0" t="0" r="0" b="0"/>
                <wp:wrapNone/>
                <wp:docPr id="24" name="Frame2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7. Equity-Based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Stock-based Compensation Expense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stock</w:t>
        <w:noBreakHyphen/>
        <w:t>based compensation expense for the periods indicated.</w:t>
      </w:r>
    </w:p>
    <w:tbl>
      <w:tblPr>
        <w:tblW w:w="8984" w:type="dxa"/>
        <w:jc w:val="left"/>
        <w:tblInd w:w="0" w:type="dxa"/>
        <w:tblLayout w:type="fixed"/>
        <w:tblCellMar>
          <w:top w:w="28" w:type="dxa"/>
          <w:left w:w="28" w:type="dxa"/>
          <w:bottom w:w="28" w:type="dxa"/>
          <w:right w:w="28" w:type="dxa"/>
        </w:tblCellMar>
      </w:tblPr>
      <w:tblGrid>
        <w:gridCol w:w="124"/>
        <w:gridCol w:w="759"/>
        <w:gridCol w:w="759"/>
        <w:gridCol w:w="762"/>
        <w:gridCol w:w="499"/>
        <w:gridCol w:w="499"/>
        <w:gridCol w:w="502"/>
        <w:gridCol w:w="109"/>
        <w:gridCol w:w="109"/>
        <w:gridCol w:w="109"/>
        <w:gridCol w:w="219"/>
        <w:gridCol w:w="600"/>
        <w:gridCol w:w="132"/>
        <w:gridCol w:w="132"/>
        <w:gridCol w:w="132"/>
        <w:gridCol w:w="132"/>
        <w:gridCol w:w="219"/>
        <w:gridCol w:w="491"/>
        <w:gridCol w:w="132"/>
        <w:gridCol w:w="109"/>
        <w:gridCol w:w="109"/>
        <w:gridCol w:w="109"/>
        <w:gridCol w:w="181"/>
        <w:gridCol w:w="571"/>
        <w:gridCol w:w="109"/>
        <w:gridCol w:w="109"/>
        <w:gridCol w:w="109"/>
        <w:gridCol w:w="109"/>
        <w:gridCol w:w="181"/>
        <w:gridCol w:w="4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Restricted stock units </w:t>
            </w:r>
            <w:r>
              <w:rPr>
                <w:rFonts w:ascii="Arial Narrow;sans-serif" w:hAnsi="Arial Narrow;sans-serif"/>
                <w:b w:val="false"/>
                <w:color w:val="000000"/>
                <w:sz w:val="12"/>
              </w:rPr>
              <w:t>(1)</w:t>
            </w:r>
          </w:p>
        </w:tc>
        <w:tc>
          <w:tcPr>
            <w:tcW w:w="15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Incentive Plan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0"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5,989 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10,864 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Performance restricted stock units</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Incentive units </w:t>
            </w:r>
          </w:p>
        </w:tc>
        <w:tc>
          <w:tcPr>
            <w:tcW w:w="150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Legacy Incentive Plan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Class A units</w:t>
            </w:r>
            <w:r>
              <w:rPr>
                <w:color w:val="000000"/>
              </w:rPr>
              <w:t xml:space="preserve"> </w:t>
            </w:r>
            <w:r>
              <w:rPr>
                <w:rFonts w:ascii="Arial Narrow;sans-serif" w:hAnsi="Arial Narrow;sans-serif"/>
                <w:b w:val="false"/>
                <w:color w:val="000000"/>
                <w:sz w:val="12"/>
              </w:rPr>
              <w:t>(1)</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Legacy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50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0"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6,064 </w:t>
            </w:r>
          </w:p>
        </w:tc>
        <w:tc>
          <w:tcPr>
            <w:tcW w:w="132"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11,003 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In the six months ended June 30, 2025, USARE LLC recorded equity-based compensation for issuance of its Class A Units to certain consultants pursuant to existing bonus agreements. In the six months ended June 30, 2025, USARE LLC recorded the forfeiture of equity-based compensation of the Company’s former CEO.</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8.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92" w:type="dxa"/>
        <w:jc w:val="left"/>
        <w:tblInd w:w="0" w:type="dxa"/>
        <w:tblLayout w:type="fixed"/>
        <w:tblCellMar>
          <w:top w:w="28" w:type="dxa"/>
          <w:left w:w="28" w:type="dxa"/>
          <w:bottom w:w="28" w:type="dxa"/>
          <w:right w:w="28" w:type="dxa"/>
        </w:tblCellMar>
      </w:tblPr>
      <w:tblGrid>
        <w:gridCol w:w="648"/>
        <w:gridCol w:w="565"/>
        <w:gridCol w:w="572"/>
        <w:gridCol w:w="181"/>
        <w:gridCol w:w="616"/>
        <w:gridCol w:w="109"/>
        <w:gridCol w:w="109"/>
        <w:gridCol w:w="109"/>
        <w:gridCol w:w="109"/>
        <w:gridCol w:w="181"/>
        <w:gridCol w:w="691"/>
        <w:gridCol w:w="109"/>
        <w:gridCol w:w="109"/>
        <w:gridCol w:w="109"/>
        <w:gridCol w:w="109"/>
        <w:gridCol w:w="181"/>
        <w:gridCol w:w="616"/>
        <w:gridCol w:w="241"/>
        <w:gridCol w:w="109"/>
        <w:gridCol w:w="109"/>
        <w:gridCol w:w="109"/>
        <w:gridCol w:w="181"/>
        <w:gridCol w:w="616"/>
        <w:gridCol w:w="241"/>
        <w:gridCol w:w="109"/>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Six Months Ended June 30, </w:t>
            </w:r>
          </w:p>
        </w:tc>
        <w:tc>
          <w:tcPr>
            <w:tcW w:w="263" w:type="dxa"/>
            <w:gridSpan w:val="2"/>
            <w:tcBorders/>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percentages)</w:t>
            </w:r>
          </w:p>
        </w:tc>
        <w:tc>
          <w:tcPr>
            <w:tcW w:w="263" w:type="dxa"/>
            <w:gridSpan w:val="2"/>
            <w:tcBorders/>
          </w:tcPr>
          <w:p>
            <w:pPr>
              <w:pStyle w:val="TableContents"/>
              <w:bidi w:val="0"/>
              <w:spacing w:before="0" w:after="283"/>
              <w:jc w:val="left"/>
              <w:rPr>
                <w:sz w:val="4"/>
                <w:szCs w:val="4"/>
              </w:rPr>
            </w:pPr>
            <w:r>
              <w:rPr>
                <w:sz w:val="4"/>
                <w:szCs w:val="4"/>
              </w:rPr>
            </w:r>
          </w:p>
        </w:tc>
      </w:tr>
      <w:tr>
        <w:trPr/>
        <w:tc>
          <w:tcPr>
            <w:tcW w:w="17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before income taxes</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(12,476)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(142,713)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(81,121)</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(91,031)</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Benefit from income taxes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Effective tax rate</w:t>
            </w:r>
          </w:p>
        </w:tc>
        <w:tc>
          <w:tcPr>
            <w:tcW w:w="906" w:type="dxa"/>
            <w:gridSpan w:val="3"/>
            <w:tcBorders>
              <w:top w:val="double" w:sz="5"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5"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5"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top w:val="double" w:sz="5"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5"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double" w:sz="5"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Company is subject to taxation in the United States, the United Kingdom, France, and various state jurisdictions. The Company’s effective tax rate of 1.3% is calculated quarterly based upon current assumptions relating to the full year’s estimated operating results and various tax-related items. Each quarter, the estimated annual effective tax rate is updated if the Company revises its forecast of earnings based upon its operating results. If there is a change in the estimated effective annual tax rate, a cumulative adjustment is recorded.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difference between the effective tax rate of 1.3% and the U.S. federal statutory rate of 21.0% for the six months ended June 30, 2026, respectively, was due to changes in the valuation allowance, which entirely offsets the Company's net deferred tax assets in the United States, and the amortization of the identifiable intangible assets accounted for in purchase accounting. As of June 30, 2026, the Company determined that, based on an evaluation of all available positive and negative evidence, including cumulative losses and the Company's latest forecasts, it was more likely than not that the Company's deferred tax assets in the United States would not be realized and, therefore, the Company continued to record a full valuation allowance.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035050"/>
                <wp:effectExtent l="0" t="0" r="0" b="0"/>
                <wp:wrapNone/>
                <wp:docPr id="25" name="Frame2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9. Net Loss per Share</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computation of the numerator and denominator used in the calculation of net loss per share attributable to holders of the Company’s common stock. For the three and six months ended June 30, 2026 and 2025, all potentially dilutive securities were excluded from diluted earnings per share as the Company reported a net loss for the period.</w:t>
      </w:r>
    </w:p>
    <w:tbl>
      <w:tblPr>
        <w:tblW w:w="8907" w:type="dxa"/>
        <w:jc w:val="left"/>
        <w:tblInd w:w="0" w:type="dxa"/>
        <w:tblLayout w:type="fixed"/>
        <w:tblCellMar>
          <w:top w:w="28" w:type="dxa"/>
          <w:left w:w="28" w:type="dxa"/>
          <w:bottom w:w="28" w:type="dxa"/>
          <w:right w:w="28" w:type="dxa"/>
        </w:tblCellMar>
      </w:tblPr>
      <w:tblGrid>
        <w:gridCol w:w="124"/>
        <w:gridCol w:w="1279"/>
        <w:gridCol w:w="1279"/>
        <w:gridCol w:w="1282"/>
        <w:gridCol w:w="181"/>
        <w:gridCol w:w="616"/>
        <w:gridCol w:w="109"/>
        <w:gridCol w:w="109"/>
        <w:gridCol w:w="109"/>
        <w:gridCol w:w="109"/>
        <w:gridCol w:w="181"/>
        <w:gridCol w:w="691"/>
        <w:gridCol w:w="109"/>
        <w:gridCol w:w="109"/>
        <w:gridCol w:w="109"/>
        <w:gridCol w:w="109"/>
        <w:gridCol w:w="181"/>
        <w:gridCol w:w="616"/>
        <w:gridCol w:w="109"/>
        <w:gridCol w:w="109"/>
        <w:gridCol w:w="109"/>
        <w:gridCol w:w="109"/>
        <w:gridCol w:w="181"/>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per share amounts)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Numerator</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Net loss attributable to USA Rare Earth, Inc. </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(142,506)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(77,322)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(90,674)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Declared and deemed dividends, and interest accretion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Undistributed net loss attributable to USA Rare Earth, Inc. </w:t>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(11,066)</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(142,506)</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(78,764)</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(90,674)</w:t>
            </w:r>
          </w:p>
        </w:tc>
        <w:tc>
          <w:tcPr>
            <w:tcW w:w="109"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Denominator</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shares outstanding - basic and diluted</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230,081 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92,769 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213,347 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91,598 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loss per share attributable to USA Rare Earth, Inc.</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Basic and diluted</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categories of potential shares that are excluded from the diluted per share computation as their effect would be anti-dilutive.</w:t>
      </w:r>
    </w:p>
    <w:tbl>
      <w:tblPr>
        <w:tblW w:w="9085" w:type="dxa"/>
        <w:jc w:val="left"/>
        <w:tblInd w:w="0" w:type="dxa"/>
        <w:tblLayout w:type="fixed"/>
        <w:tblCellMar>
          <w:top w:w="28" w:type="dxa"/>
          <w:left w:w="28" w:type="dxa"/>
          <w:bottom w:w="28" w:type="dxa"/>
          <w:right w:w="28" w:type="dxa"/>
        </w:tblCellMar>
      </w:tblPr>
      <w:tblGrid>
        <w:gridCol w:w="124"/>
        <w:gridCol w:w="1233"/>
        <w:gridCol w:w="1233"/>
        <w:gridCol w:w="1238"/>
        <w:gridCol w:w="360"/>
        <w:gridCol w:w="243"/>
        <w:gridCol w:w="243"/>
        <w:gridCol w:w="243"/>
        <w:gridCol w:w="243"/>
        <w:gridCol w:w="243"/>
        <w:gridCol w:w="360"/>
        <w:gridCol w:w="243"/>
        <w:gridCol w:w="243"/>
        <w:gridCol w:w="109"/>
        <w:gridCol w:w="109"/>
        <w:gridCol w:w="109"/>
        <w:gridCol w:w="360"/>
        <w:gridCol w:w="218"/>
        <w:gridCol w:w="218"/>
        <w:gridCol w:w="218"/>
        <w:gridCol w:w="218"/>
        <w:gridCol w:w="218"/>
        <w:gridCol w:w="360"/>
        <w:gridCol w:w="218"/>
        <w:gridCol w:w="218"/>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7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6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i/>
                <w:color w:val="000000"/>
                <w:sz w:val="14"/>
              </w:rPr>
            </w:pPr>
            <w:r>
              <w:rPr>
                <w:rFonts w:ascii="Arial Narrow;sans-serif" w:hAnsi="Arial Narrow;sans-serif"/>
                <w:b w:val="false"/>
                <w:i/>
                <w:color w:val="000000"/>
                <w:sz w:val="14"/>
              </w:rPr>
              <w:t>(Shares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12% Series A Cumulative Convertible Preferred Stock </w:t>
            </w:r>
            <w:r>
              <w:rPr>
                <w:rFonts w:ascii="Arial Narrow;sans-serif" w:hAnsi="Arial Narrow;sans-serif"/>
                <w:b w:val="false"/>
                <w:color w:val="000000"/>
                <w:sz w:val="12"/>
              </w:rPr>
              <w:t>(1)</w:t>
            </w:r>
          </w:p>
        </w:tc>
        <w:tc>
          <w:tcPr>
            <w:tcW w:w="60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2,443 </w:t>
            </w:r>
          </w:p>
        </w:tc>
        <w:tc>
          <w:tcPr>
            <w:tcW w:w="24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6,595 </w:t>
            </w:r>
          </w:p>
        </w:tc>
        <w:tc>
          <w:tcPr>
            <w:tcW w:w="24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2,443 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6,595 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Series A Warrants</w:t>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6,130 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6,130 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Earnout Shares </w:t>
            </w:r>
            <w:r>
              <w:rPr>
                <w:rFonts w:ascii="Arial Narrow;sans-serif" w:hAnsi="Arial Narrow;sans-serif"/>
                <w:b w:val="false"/>
                <w:color w:val="000000"/>
                <w:sz w:val="12"/>
              </w:rPr>
              <w:t>(2)</w:t>
            </w:r>
          </w:p>
        </w:tc>
        <w:tc>
          <w:tcPr>
            <w:tcW w:w="60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10,100 </w:t>
            </w:r>
          </w:p>
        </w:tc>
        <w:tc>
          <w:tcPr>
            <w:tcW w:w="24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10,100 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Investor Warrants </w:t>
            </w:r>
            <w:r>
              <w:rPr>
                <w:rFonts w:ascii="Arial Narrow;sans-serif" w:hAnsi="Arial Narrow;sans-serif"/>
                <w:b w:val="false"/>
                <w:color w:val="000000"/>
                <w:sz w:val="12"/>
              </w:rPr>
              <w:t>(3)</w:t>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Incentive Units</w:t>
            </w:r>
          </w:p>
        </w:tc>
        <w:tc>
          <w:tcPr>
            <w:tcW w:w="60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10,714 </w:t>
            </w:r>
          </w:p>
        </w:tc>
        <w:tc>
          <w:tcPr>
            <w:tcW w:w="24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10,714 </w:t>
            </w:r>
          </w:p>
        </w:tc>
        <w:tc>
          <w:tcPr>
            <w:tcW w:w="2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Government Grant Warrants</w:t>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17,601 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17,601 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603" w:type="dxa"/>
            <w:gridSpan w:val="2"/>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22,481 </w:t>
            </w:r>
          </w:p>
        </w:tc>
        <w:tc>
          <w:tcPr>
            <w:tcW w:w="243"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51,908 </w:t>
            </w:r>
          </w:p>
        </w:tc>
        <w:tc>
          <w:tcPr>
            <w:tcW w:w="243"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22,481 </w:t>
            </w:r>
          </w:p>
        </w:tc>
        <w:tc>
          <w:tcPr>
            <w:tcW w:w="218"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51,908 </w:t>
            </w:r>
          </w:p>
        </w:tc>
        <w:tc>
          <w:tcPr>
            <w:tcW w:w="218"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Represents the amount of potential common shares, if converted at each reported date.</w:t>
      </w:r>
    </w:p>
    <w:p>
      <w:pPr>
        <w:pStyle w:val="TextBody"/>
        <w:bidi w:val="0"/>
        <w:spacing w:lineRule="auto" w:line="288" w:before="0" w:after="0"/>
        <w:ind w:left="0" w:right="0" w:hanging="360"/>
        <w:jc w:val="both"/>
        <w:rPr/>
      </w:pPr>
      <w:r>
        <w:rPr>
          <w:rFonts w:ascii="Arial Narrow;sans-serif" w:hAnsi="Arial Narrow;sans-serif"/>
          <w:b w:val="false"/>
          <w:color w:val="000000"/>
          <w:sz w:val="12"/>
        </w:rPr>
        <w:t>(2)</w:t>
      </w:r>
      <w:r>
        <w:rPr>
          <w:rFonts w:ascii="Arial Narrow;sans-serif" w:hAnsi="Arial Narrow;sans-serif"/>
          <w:b w:val="false"/>
          <w:color w:val="000000"/>
          <w:sz w:val="18"/>
        </w:rPr>
        <w:t>Represents contingently issuable shares outstanding at each reported date.</w:t>
      </w:r>
    </w:p>
    <w:p>
      <w:pPr>
        <w:pStyle w:val="TextBody"/>
        <w:bidi w:val="0"/>
        <w:spacing w:lineRule="auto" w:line="288" w:before="0" w:after="0"/>
        <w:ind w:left="0" w:right="0" w:hanging="360"/>
        <w:jc w:val="both"/>
        <w:rPr/>
      </w:pPr>
      <w:r>
        <w:rPr>
          <w:rFonts w:ascii="Arial Narrow;sans-serif" w:hAnsi="Arial Narrow;sans-serif"/>
          <w:b w:val="false"/>
          <w:color w:val="000000"/>
          <w:sz w:val="12"/>
        </w:rPr>
        <w:t>(3)</w:t>
      </w:r>
      <w:r>
        <w:rPr>
          <w:rFonts w:ascii="Arial Narrow;sans-serif" w:hAnsi="Arial Narrow;sans-serif"/>
          <w:b w:val="false"/>
          <w:color w:val="000000"/>
          <w:sz w:val="18"/>
        </w:rPr>
        <w:t>Investor warrants outstanding as of June 30, 2025 were fully exercised during 2025 and are therefore excluded from the June 30, 2026 table.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10. Segment Reporting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The Company operates in a single reportable operating segment encompassing its vertically integrated rare earth element magnet production and supply chain. The Company’s chief operating decision maker (“CODM”) is the Company’s chief executive officer.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CODM assesses performance and allocates resources primarily on the basis of consolidated net loss and total assets, which are reported on the Company’s Condensed Consolidated Statements of Operations and Comprehensive Loss and Condensed Consolidated Balance Sheets, respectively. The CODM does not regularly review discrete segment revenue or expense categories beyond the consolidated financial statements for purposes of evaluating performance or allocating resources. Accordingly, the Company has not presented additional quantitative disclosures of significant segment expenses, as such information is not regularly provided to the CODM.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035050"/>
                <wp:effectExtent l="0" t="0" r="0" b="0"/>
                <wp:wrapNone/>
                <wp:docPr id="26" name="Frame2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Because the Company operates in a single reportable segment and the measures used by the CODM are consistent with the consolidated financial statements, no reconciliation is required between segment measures and the consolidated amounts.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11. Concentrations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Disaggregation of Revenue</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All of the Company’s revenue is derived from sales of casting and strip casting. The following table presents United States (“domestic”) and international (“foreign”) revenue, based on the customers’ “shipped to” address. No revenue was reported in the three and six months ended June 30, 2025.</w:t>
      </w:r>
    </w:p>
    <w:tbl>
      <w:tblPr>
        <w:tblW w:w="8003" w:type="dxa"/>
        <w:jc w:val="left"/>
        <w:tblInd w:w="0" w:type="dxa"/>
        <w:tblLayout w:type="fixed"/>
        <w:tblCellMar>
          <w:top w:w="28" w:type="dxa"/>
          <w:left w:w="28" w:type="dxa"/>
          <w:bottom w:w="28" w:type="dxa"/>
          <w:right w:w="28" w:type="dxa"/>
        </w:tblCellMar>
      </w:tblPr>
      <w:tblGrid>
        <w:gridCol w:w="124"/>
        <w:gridCol w:w="324"/>
        <w:gridCol w:w="324"/>
        <w:gridCol w:w="326"/>
        <w:gridCol w:w="109"/>
        <w:gridCol w:w="109"/>
        <w:gridCol w:w="109"/>
        <w:gridCol w:w="573"/>
        <w:gridCol w:w="1571"/>
        <w:gridCol w:w="345"/>
        <w:gridCol w:w="109"/>
        <w:gridCol w:w="2311"/>
        <w:gridCol w:w="109"/>
        <w:gridCol w:w="109"/>
        <w:gridCol w:w="109"/>
        <w:gridCol w:w="181"/>
        <w:gridCol w:w="571"/>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669"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9" w:type="dxa"/>
            <w:gridSpan w:val="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669"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United States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1,742 </w:t>
            </w:r>
          </w:p>
        </w:tc>
        <w:tc>
          <w:tcPr>
            <w:tcW w:w="34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5,821 </w:t>
            </w:r>
          </w:p>
        </w:tc>
        <w:tc>
          <w:tcPr>
            <w:tcW w:w="345"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11,519 </w:t>
            </w:r>
          </w:p>
        </w:tc>
        <w:tc>
          <w:tcPr>
            <w:tcW w:w="109" w:type="dxa"/>
            <w:tcBorders>
              <w:top w:val="single" w:sz="4"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Major Customers</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customers that account for 10% or more of the Company’s revenue. Concentration of revenue between a limited number of customers shifts regularly, depending on when revenue is recognized. The percentages by customer reflect specific relationships or contracts that would concentrate revenue for the period presented and do not indicate a trend specific to any one customer. No revenue was reported in the three and six months ended June 30, 2025.</w:t>
      </w:r>
    </w:p>
    <w:tbl>
      <w:tblPr>
        <w:tblW w:w="8074" w:type="dxa"/>
        <w:jc w:val="left"/>
        <w:tblInd w:w="0" w:type="dxa"/>
        <w:tblLayout w:type="fixed"/>
        <w:tblCellMar>
          <w:top w:w="28" w:type="dxa"/>
          <w:left w:w="28" w:type="dxa"/>
          <w:bottom w:w="28" w:type="dxa"/>
          <w:right w:w="28" w:type="dxa"/>
        </w:tblCellMar>
      </w:tblPr>
      <w:tblGrid>
        <w:gridCol w:w="124"/>
        <w:gridCol w:w="504"/>
        <w:gridCol w:w="504"/>
        <w:gridCol w:w="507"/>
        <w:gridCol w:w="109"/>
        <w:gridCol w:w="109"/>
        <w:gridCol w:w="109"/>
        <w:gridCol w:w="829"/>
        <w:gridCol w:w="829"/>
        <w:gridCol w:w="832"/>
        <w:gridCol w:w="109"/>
        <w:gridCol w:w="2311"/>
        <w:gridCol w:w="109"/>
        <w:gridCol w:w="109"/>
        <w:gridCol w:w="109"/>
        <w:gridCol w:w="130"/>
        <w:gridCol w:w="130"/>
        <w:gridCol w:w="130"/>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198"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618" w:type="dxa"/>
            <w:gridSpan w:val="1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26%</w:t>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1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All other customers</w:t>
            </w:r>
            <w:r>
              <w:rPr>
                <w:color w:val="000000"/>
              </w:rPr>
              <w:t xml:space="preserve"> </w:t>
            </w:r>
            <w:r>
              <w:rPr>
                <w:rFonts w:ascii="Arial Narrow;sans-serif" w:hAnsi="Arial Narrow;sans-serif"/>
                <w:b w:val="false"/>
                <w:color w:val="000000"/>
                <w:sz w:val="12"/>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(1)</w:t>
      </w:r>
      <w:r>
        <w:rPr>
          <w:rFonts w:ascii="Arial Narrow;sans-serif" w:hAnsi="Arial Narrow;sans-serif"/>
          <w:b w:val="false"/>
          <w:color w:val="000000"/>
          <w:sz w:val="18"/>
        </w:rPr>
        <w:t>Includes individual customers that each accounted for less than 10% of total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035050"/>
                <wp:effectExtent l="0" t="0" r="0" b="0"/>
                <wp:wrapNone/>
                <wp:docPr id="27" name="Frame2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12. Merger Transaction and Acquisition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Earnout Share Conversion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In connection with the business combination between the Company and USA Rare Earth, LLC, the Company agreed to issue common stock of the Company (the “earnout shares”) to certain shareholders of USA Rare Earth, LLC in two tranches upon the occurrence of certain triggering events. </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 xml:space="preserve">On April 15, 2026, the Company achieved the market-price condition for the first tranche of earnout shares, as the Company's common stock was equal to or exceeded $15.00 per share for at least 20 out of 30 consecutive trading days. As a result, 5.05 million earnout shares were converted into shares of the Company’s common stock.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On May 15, 2026, the Company achieved the market-price condition for the second tranche of earnout shares, as the Company's common stock was equal to or exceeded $20.00 per share for at least 20 out of 30 consecutive trading days. As a result, 5.05 million earnout shares were converted into shares of the Company’s common stock.</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The earnout shares were classified as liabilities and remeasured at fair value on a recurring basis prior to conversion which resulted in a fair value gain on conversion of $70.7 million and $107.2 million in the three and six months ended June 30, 2026, respectively, presented in </w:t>
      </w:r>
      <w:r>
        <w:rPr>
          <w:rFonts w:ascii="Arial Narrow;sans-serif" w:hAnsi="Arial Narrow;sans-serif"/>
          <w:b w:val="false"/>
          <w:i/>
          <w:color w:val="000000"/>
          <w:sz w:val="20"/>
        </w:rPr>
        <w:t xml:space="preserve">(Loss) gain on fair market value of financial instruments, net </w:t>
      </w:r>
      <w:r>
        <w:rPr>
          <w:rFonts w:ascii="Arial Narrow;sans-serif" w:hAnsi="Arial Narrow;sans-serif"/>
          <w:b w:val="false"/>
          <w:color w:val="000000"/>
          <w:sz w:val="20"/>
        </w:rPr>
        <w:t>in the Condensed Consolidated Statements of Operations and Comprehensive Loss. Upon conversion, the related earnout liability was reclassified to common stock and additional paid</w:t>
        <w:noBreakHyphen/>
        <w:t xml:space="preserve">in capital. </w:t>
      </w:r>
      <w:hyperlink w:anchor="i5f43db688c2c433f9d412b16efe97020_549755815242">
        <w:r>
          <w:rPr>
            <w:rStyle w:val="InternetLink"/>
            <w:rFonts w:ascii="Arial Narrow;sans-serif" w:hAnsi="Arial Narrow;sans-serif"/>
            <w:b w:val="false"/>
            <w:strike w:val="false"/>
            <w:dstrike w:val="false"/>
            <w:color w:val="000000"/>
            <w:sz w:val="20"/>
            <w:u w:val="none"/>
            <w:effect w:val="none"/>
          </w:rPr>
          <w:t>See Note</w:t>
        </w:r>
      </w:hyperlink>
      <w:r>
        <w:rPr>
          <w:rFonts w:ascii="Arial Narrow;sans-serif" w:hAnsi="Arial Narrow;sans-serif"/>
          <w:b w:val="false"/>
          <w:color w:val="000000"/>
          <w:sz w:val="20"/>
        </w:rPr>
        <w:t xml:space="preserve"> 2, “Fair Value Measurements – Earnout Liability” for a reconciliation of the conversion of the Earnout liability.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Definitive Carester SAS Investment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On April 9, 2026, the Company entered into a binding letter of intent, and subsequently on July 23, 2026, the Company entered into a definitive agreement to acquire a 13.6% equity interest in Carester SAS (“Carester”), the parent company of Caremag SAS, for cash and equity consideration amounting to €40.0 million, or approximately $45.7 million.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proposed consideration consists of €28.3 million in cash, or approximately $32.4 million, and €11.7 million in equity consideration, or approximately $13.3 million, payable in shares of the Company’s common stock, in each case subject to customary adjustments, including the potential substitution of cash in lieu of the Company’s common stock.</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number of shares of the Company’s common stock to be issued will be determined based on the market price of the Company’s common stock on the closing date of the transaction. As a result, the actual U.S. dollar value of the cash and equity consideration, when translated from euros to U.S. dollars, may differ from the estimated amounts described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Proposed SVRE Holdings Ltd. Acquisition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April 19, 2026, the Company entered into a definitive agreement to acquire 100% of SVRE Holdings Ltd., the parent company of Serra Verde Group (“Serra Verde”), for $300.0 million in cash and 126.8 million shares of the Company’s common stock (approximately $2.53 billion) for total expected consideration of approximately $2.83 billion, as of the date of the definitive agreement. This acquisition is subject to customary conditions. Serra Verde operates a rare earths project in Brazil that is currently in commercial production.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035050"/>
                <wp:effectExtent l="0" t="0" r="0" b="0"/>
                <wp:wrapNone/>
                <wp:docPr id="28" name="Frame2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13. Government Grants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U.S. Department of Commerce CHIPS Act Awards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June 3, 2026 (the “Award Date”), the Company entered into a Direct Funding Agreement (the DFA”) and a Loan Guarantee Agreement (the “LGA”) with the U.S. Department of Commerce (the “Dept. of Commerce”) pursuant to the CHIPS and Science Act of 2022 (the “CHIPS Act”). In connection with the execution of these agreements, the Company also entered into a Securities Issuance Agreement with the Dept. of Commerce pursuant to which the Company issued shares of its common stock and warrants to purchase shares of its common stock as conditions precedent to the DFA and LGA, respectively.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As a condition precedent to the DFA, the Company issued to the Dept. of Commerce 16,132,790 shares of its common stock on the Award Date. The shares were measured at fair value based on the Company’s closing stock price of $27.98 per share on the Award Date, resulting in an aggregate fair value of approximately $451.4 million.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As a condition precedent to the LGA, the Company issued to the Dept. of Commerce a warrant to purchase up to 17,600,584 shares of its common stock (the “Warrant”) at an exercise price of $17.17 per share. The Warrant issued under the LGA was initially measured at fair value of $430.9 million ($24.48 per Warrant share) on the Award Date based on an independent third-party valuation. </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Together, the combined fair values for the common stock issued under the DFA and the Warrants issued under the LGA of $882.3 million are treated as the total cost incurred to obtain access to the funding arrangement under the CHIPS Act, and along with other financing costs, are recognized as </w:t>
      </w:r>
      <w:r>
        <w:rPr>
          <w:rFonts w:ascii="Arial Narrow;sans-serif" w:hAnsi="Arial Narrow;sans-serif"/>
          <w:b w:val="false"/>
          <w:i/>
          <w:color w:val="000000"/>
          <w:sz w:val="20"/>
        </w:rPr>
        <w:t>Deferred arrangement costs</w:t>
      </w:r>
      <w:r>
        <w:rPr>
          <w:color w:val="000000"/>
        </w:rPr>
        <w:t xml:space="preserve"> </w:t>
      </w:r>
      <w:r>
        <w:rPr>
          <w:rFonts w:ascii="Arial Narrow;sans-serif" w:hAnsi="Arial Narrow;sans-serif"/>
          <w:b w:val="false"/>
          <w:color w:val="000000"/>
          <w:sz w:val="20"/>
        </w:rPr>
        <w:t>in the Condensed Consolidated Balance Sheets.</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Direct Funding Agreement</w:t>
      </w:r>
    </w:p>
    <w:p>
      <w:pPr>
        <w:pStyle w:val="TextBody"/>
        <w:bidi w:val="0"/>
        <w:spacing w:before="0" w:after="0"/>
        <w:jc w:val="left"/>
        <w:rPr/>
      </w:pPr>
      <w:r>
        <w:rPr/>
      </w:r>
    </w:p>
    <w:p>
      <w:pPr>
        <w:pStyle w:val="TextBody"/>
        <w:bidi w:val="0"/>
        <w:spacing w:lineRule="auto" w:line="288" w:before="0" w:after="0"/>
        <w:jc w:val="both"/>
        <w:rPr/>
      </w:pPr>
      <w:r>
        <w:rPr>
          <w:rFonts w:ascii="Arial Narrow;sans-serif" w:hAnsi="Arial Narrow;sans-serif"/>
          <w:b w:val="false"/>
          <w:color w:val="000000"/>
          <w:sz w:val="20"/>
        </w:rPr>
        <w:t xml:space="preserve">The DFA provides for up to $277.0 million in direct funding from the Dept. of Commerce to support the construction and development of domestic rare earth and critical minerals projects (the “Projects”). Receipt of funding under the DFA is contingent upon the Company satisfying various contractual milestones, conditions, and approval requirements. Management evaluates these conditions on an ongoing basis and assesses the probability of achieving the required milestones and ultimately receiving the related funding. Based on this assessment, the Company concluded that recognition of the deferred equity cost (included in the </w:t>
      </w:r>
      <w:r>
        <w:rPr>
          <w:rFonts w:ascii="Arial Narrow;sans-serif" w:hAnsi="Arial Narrow;sans-serif"/>
          <w:b w:val="false"/>
          <w:i/>
          <w:color w:val="000000"/>
          <w:sz w:val="20"/>
        </w:rPr>
        <w:t>Deferred arrangement costs</w:t>
      </w:r>
      <w:r>
        <w:rPr>
          <w:color w:val="000000"/>
        </w:rPr>
        <w:t xml:space="preserve"> </w:t>
      </w:r>
      <w:r>
        <w:rPr>
          <w:rFonts w:ascii="Arial Narrow;sans-serif" w:hAnsi="Arial Narrow;sans-serif"/>
          <w:b w:val="false"/>
          <w:color w:val="000000"/>
          <w:sz w:val="20"/>
        </w:rPr>
        <w:t>on the Condensed Consolidated Balance Sheets) at Award Date remains appropriate as of June 30, 2026. In addition, the DFA contains customary representations, covenants, and conditions, including restrictions on stock buybacks and dividends for a five-year period following the Award Date, minimum liquidity requirements, and clawback provisions applicable upon milestone failure or breach of authorized purpose.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deferred equity cost asset will remain on the balance sheet until direct funding award disbursements are received. Upon receipt of approved cash disbursements, the Company will record a credit to additional paid in capital and reduce a proportionate share of the deferred equity cost with an offset to additional paid in capital. As of June 30, 2026, the Company had not received any direct funding award disbursements, nor had it received formal approval for any disbursement requests..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common stock issued to the Dept. of Commerce is subject to a one-year lock-up period from the Award Date. The Dept. of Commerce’s voting rights with respect to the shares are restricted to the greatest extent permissible under applicable law.</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Loan Guarantee Agreement</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The LGA provides for a loan guarantee by the Dept. of Commerce of up to $1.30 billion in borrowings by the Company from the Federal Financing Bank (“FFB”) to fund a portion of the capital costs of the Projects. Advances (“loan disbursements”) under the LGA are subject to milestone-based conditions precedent and are non-revolving. Each loan disbursement has a 15-year maturity from the award date. The interest rate applicable to each loan disbursement is based upon the U.S. Treasury securities at each draw down date plus 150 basis points. The LGA contains customary affirmative and negative covenants, including restrictions on the incurrence of additional indebtedness, maintenance of certain financial ratios, and requirements applicable to the use of proceeds. The Company will account for each loan disbursement as debt under ASC 470, </w:t>
      </w:r>
      <w:r>
        <w:rPr>
          <w:rFonts w:ascii="Arial Narrow;sans-serif" w:hAnsi="Arial Narrow;sans-serif"/>
          <w:b w:val="false"/>
          <w:i/>
          <w:color w:val="000000"/>
          <w:sz w:val="20"/>
        </w:rPr>
        <w:t>Debt</w:t>
      </w:r>
      <w:r>
        <w:rPr>
          <w:rFonts w:ascii="Arial Narrow;sans-serif" w:hAnsi="Arial Narrow;sans-serif"/>
          <w:b w:val="false"/>
          <w:color w:val="000000"/>
          <w:sz w:val="20"/>
        </w:rPr>
        <w:t>. As of June 30, 2026, no advances had been drawn under the LGA.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035050"/>
                <wp:effectExtent l="0" t="0" r="0" b="0"/>
                <wp:wrapNone/>
                <wp:docPr id="29" name="Frame2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2023">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USA Rare Earth,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Condensed Consolidated Financial Statements (Unaudited)</w:t>
      </w:r>
    </w:p>
    <w:p>
      <w:pPr>
        <w:pStyle w:val="TextBody"/>
        <w:bidi w:val="0"/>
        <w:spacing w:lineRule="auto" w:line="288" w:before="0" w:after="0"/>
        <w:jc w:val="both"/>
        <w:rPr/>
      </w:pPr>
      <w:r>
        <w:rPr>
          <w:rFonts w:ascii="Arial Narrow;sans-serif" w:hAnsi="Arial Narrow;sans-serif"/>
          <w:b w:val="false"/>
          <w:color w:val="000000"/>
          <w:sz w:val="20"/>
        </w:rPr>
        <w:t xml:space="preserve">The initial fair value of the Warrant was recorded under </w:t>
      </w:r>
      <w:r>
        <w:rPr>
          <w:rFonts w:ascii="Arial Narrow;sans-serif" w:hAnsi="Arial Narrow;sans-serif"/>
          <w:b w:val="false"/>
          <w:i/>
          <w:color w:val="000000"/>
          <w:sz w:val="20"/>
        </w:rPr>
        <w:t>Warrant liability</w:t>
      </w:r>
      <w:r>
        <w:rPr>
          <w:color w:val="000000"/>
        </w:rPr>
        <w:t xml:space="preserve"> </w:t>
      </w:r>
      <w:r>
        <w:rPr>
          <w:rFonts w:ascii="Arial Narrow;sans-serif" w:hAnsi="Arial Narrow;sans-serif"/>
          <w:b w:val="false"/>
          <w:color w:val="000000"/>
          <w:sz w:val="20"/>
        </w:rPr>
        <w:t xml:space="preserve">with an offset to deferred financing costs (included in </w:t>
      </w:r>
      <w:r>
        <w:rPr>
          <w:rFonts w:ascii="Arial Narrow;sans-serif" w:hAnsi="Arial Narrow;sans-serif"/>
          <w:b w:val="false"/>
          <w:i/>
          <w:color w:val="000000"/>
          <w:sz w:val="20"/>
        </w:rPr>
        <w:t>Deferred arrangement costs</w:t>
      </w:r>
      <w:r>
        <w:rPr>
          <w:color w:val="000000"/>
        </w:rPr>
        <w:t xml:space="preserve"> </w:t>
      </w:r>
      <w:r>
        <w:rPr>
          <w:rFonts w:ascii="Arial Narrow;sans-serif" w:hAnsi="Arial Narrow;sans-serif"/>
          <w:b w:val="false"/>
          <w:color w:val="000000"/>
          <w:sz w:val="20"/>
        </w:rPr>
        <w:t xml:space="preserve">in the Condensed Consolidated Balance Sheet). Subsequent changes in the fair value of the warrant liability are recognized in earnings as a component of other income (expense) and do not adjust the deferred financing costs. </w:t>
      </w:r>
      <w:hyperlink w:anchor="i5f43db688c2c433f9d412b16efe97020_549755825177">
        <w:r>
          <w:rPr>
            <w:rStyle w:val="InternetLink"/>
            <w:rFonts w:ascii="Arial Narrow;sans-serif" w:hAnsi="Arial Narrow;sans-serif"/>
            <w:b w:val="false"/>
            <w:strike w:val="false"/>
            <w:dstrike w:val="false"/>
            <w:color w:val="000000"/>
            <w:sz w:val="20"/>
            <w:u w:val="none"/>
            <w:effect w:val="none"/>
          </w:rPr>
          <w:t>See Note</w:t>
        </w:r>
      </w:hyperlink>
      <w:r>
        <w:rPr>
          <w:rFonts w:ascii="Arial Narrow;sans-serif" w:hAnsi="Arial Narrow;sans-serif"/>
          <w:b w:val="false"/>
          <w:color w:val="000000"/>
          <w:sz w:val="20"/>
        </w:rPr>
        <w:t xml:space="preserve"> 2, “Fair Value Measurements – Government Grant Warrant Liability,” for the valuation methodology, significant unobservable inputs, and the roll forward of the warrant liability for the three and six months ended June 30, 2026.</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The Warrant has a ten-year term commencing on the Award Date and is exercisable, in whole or in part, beginning on the first anniversary of the Award Date. At expiration, to the extent not previously exercised, the Warrant is deemed automatically exercised on a net-share (cashless) basis. The Warrant includes a holder-elected redemption right upon the occurrence of a Business Combination (as defined in the Warrant), the Dept. of Commerce may require the acquirer to purchase all or a portion of the Warrant at a price equal to the amount the Dept. of Commerce would receive in respect of the underlying Warrant shares in a hypothetical liquidation of the Company at fair market value, payable by wire transfer of immediately available funds. Because this holder-elected cash settlement alternative is available even in a Business Combination in which common shareholders receive non-cash consideration, the cash settlement is not assured to be in the same form as the consideration received by common shareholders, and any such Business Combination would be outside the sole control of the Company, the Warrant does not meet the criteria for equity classification.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The Warrant was immediately issued as a condition precedent to the LGA commitment and is fully exercisable after 1 year, the Warrant is not linked to a specific loan disbursement. Therefore, the Warrant was issued to obtain access to the credit facility provided under the LGA rather than in connection with the issuance of a specific loan disbursement. Debt issuance costs associated with the LGA, comprising 1) the initial fair value of the Warrant, 2) the 2.0% upfront loan commitment fee of $26.0 million, 3) a 2.0% annual ticking fee, paid quarterly, based on the unutilized LGA commitment amount, and 4) directly attributable legal and advisory costs, are deferred as a loan commitment asset and will be reclassified as a debt discount against each FFB note as advances are drawn, and subsequently amortized to interest expense over the term of the applicable note using the effective interest method.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Upon exercise or redemption, in whole or in part, or expiration, the Warrant liability is remeasured to fair value immediately prior to settlement, with the change in fair value recognized in earnings. The portion of the liability settled is then derecognized with a corresponding entry to equity (for net-share settlement) or against cash or other assets (for cash settlement under the holder-elected redemption right).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Note 14. Subsequent Events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Hooton Park Acquisition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July 2, 2026, the Company purchased its currently leased Less Common Metals. Ltd. manufacturing site, including land and building (also referred to as “Hooton Park”), for approximately £7.0 million, or approximately $9.3 million. The Company is currently completing the accounting for the acquisition, including a preliminary assessment of environmental remediation obligations associated with the property. Based on information currently available, management expects certain environmental liabilities to be recognized in connection with the acquisition; however, the amount and timing of any such obligations remain subject to further analysis and may change materially as the valuation and environmental review are finalized.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035050"/>
                <wp:effectExtent l="0" t="0" r="0" b="0"/>
                <wp:wrapNone/>
                <wp:docPr id="30" name="Frame2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ind w:left="0" w:right="0" w:hanging="720"/>
        <w:jc w:val="both"/>
        <w:rPr>
          <w:rFonts w:ascii="Arial Narrow;sans-serif" w:hAnsi="Arial Narrow;sans-serif"/>
          <w:b/>
          <w:color w:val="000000"/>
          <w:sz w:val="22"/>
        </w:rPr>
      </w:pPr>
      <w:r>
        <w:rPr>
          <w:rFonts w:ascii="Arial Narrow;sans-serif" w:hAnsi="Arial Narrow;sans-serif"/>
          <w:b/>
          <w:color w:val="000000"/>
          <w:sz w:val="22"/>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color w:val="000000"/>
          <w:sz w:val="20"/>
        </w:rPr>
        <w:t>The following discussion and analysis is intended to help the reader understand our results of operations and financial condition. It should be read in conjunction with the Condensed Consolidated Financial Statements and related Notes included in Part I, Item 1, “Financial Statements (Unaudited),” in this Quarterly Report on Form 10-Q (the “Notes”). The following discussion may contain forward-looking statements. Forward-looking statements are not guarantees of performance. Although we believe these forward-looking statements are reasonable when made, we cannot assure you that we will achieve the plans or expectations referenced in our forward-looking statements. Our actual results and the timing of events may differ materially from those expressed or implied as a result of various factors, including those set forth in the sections titled “</w:t>
      </w:r>
      <w:hyperlink w:anchor="i5f43db688c2c433f9d412b16efe97020_974">
        <w:r>
          <w:rPr>
            <w:rStyle w:val="InternetLink"/>
            <w:rFonts w:ascii="Arial Narrow;sans-serif" w:hAnsi="Arial Narrow;sans-serif"/>
            <w:b w:val="false"/>
            <w:strike w:val="false"/>
            <w:dstrike w:val="false"/>
            <w:color w:val="000000"/>
            <w:sz w:val="20"/>
            <w:u w:val="none"/>
            <w:effect w:val="none"/>
          </w:rPr>
          <w:t>Risk Factors</w:t>
        </w:r>
      </w:hyperlink>
      <w:r>
        <w:rPr>
          <w:rFonts w:ascii="Arial Narrow;sans-serif" w:hAnsi="Arial Narrow;sans-serif"/>
          <w:b w:val="false"/>
          <w:color w:val="000000"/>
          <w:sz w:val="20"/>
        </w:rPr>
        <w:t>” and “</w:t>
      </w:r>
      <w:hyperlink w:anchor="i5f43db688c2c433f9d412b16efe97020_549755822705">
        <w:r>
          <w:rPr>
            <w:rStyle w:val="InternetLink"/>
            <w:rFonts w:ascii="Arial Narrow;sans-serif" w:hAnsi="Arial Narrow;sans-serif"/>
            <w:b w:val="false"/>
            <w:strike w:val="false"/>
            <w:dstrike w:val="false"/>
            <w:color w:val="000000"/>
            <w:sz w:val="20"/>
            <w:u w:val="none"/>
            <w:effect w:val="none"/>
          </w:rPr>
          <w:t>Cautionary Note Regarding Forward-Looking Statements</w:t>
        </w:r>
      </w:hyperlink>
      <w:r>
        <w:rPr>
          <w:rFonts w:ascii="Arial Narrow;sans-serif" w:hAnsi="Arial Narrow;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Overview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are building a leading global rare earth value chain, from mine to magnet and beyond. We intend to secure, reshore, and grow the materials intelligence and production technologies required to stand up a resilient rare earth industry. This advanced industrial operating system should strengthen supply-chain security for the national defense, manufacturing and technology of the United States (“U.S.”) and its allies. Our plan is to build an integrated platform to encompass the entire rare earth value chain: extraction and separation of rare earth oxides; conversion of oxides into metals, alloys and strip-cast; and production of sintered neodymium-iron-boron (“NdFeB”) permanent magnets, which we also refer to as neo magnets. This capability should address the supply-chain vulnerabilities created by China’s current dominance of rare earth processing, and metal and magnet manufacturing.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Factors Affecting Comparability of Results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During 2025, we completed two transactions that materially affect the comparability of the results discussed below. On March 13, 2025, we consummated our business combination with USA Rare Earth, LLC and became a publicly traded company listed on Nasdaq under the symbol “USAR.” On November 18, 2025, we acquired Less Common Metals Ltd. (“Less Common Metals”), a rare earth metal and alloy manufacturer based in Cheshire, United Kingdom.</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a result, the three and six months ended June 30, 2026 reflect Less Common Metals’ operations, while the prior-year period reflects none. All of our revenue for the three and six months ended June 30, 2026 is attributable to Less Common Metals. Accordingly, revenue, gross loss, and operating expenses for the three and six months ended June 30, 2026 are not comparable with the corresponding line items for the three and six months ended June 30, 2025.</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For a complete description of both transactions, refer to </w:t>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Note</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 </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2</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 xml:space="preserve">, </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Merger Transaction and Acquisition</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 xml:space="preserve"> </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in the Notes to Consolidated Financial Statements included in our Annual Report on Form 10</w:t>
        <w:noBreakHyphen/>
        <w:t xml:space="preserve">K for the fiscal year ended December 31, 2025 (the “2025 Annual Report”) filed with the </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Securities and Exchange Commission (</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SEC</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w:t>
      </w:r>
      <w:r>
        <w:rPr>
          <w:rStyle w:val="InternetLink"/>
        </w:rPr>
        <w:fldChar w:fldCharType="end"/>
      </w:r>
      <w:r>
        <w:fldChar w:fldCharType="begin"/>
      </w:r>
      <w:r>
        <w:rPr>
          <w:rStyle w:val="InternetLink"/>
        </w:rPr>
        <w:instrText xml:space="preserve"> HYPERLINK "https://www.sec.gov/Archives/edgar/data/1970622/000197062226000021/usar-20251231.htm" \l "i5f43db688c2c433f9d412b16efe97020_2045"</w:instrText>
      </w:r>
      <w:r>
        <w:rPr>
          <w:rStyle w:val="InternetLink"/>
        </w:rPr>
        <w:fldChar w:fldCharType="separate"/>
      </w:r>
      <w:r>
        <w:rPr>
          <w:rStyle w:val="InternetLink"/>
        </w:rPr>
        <w:t xml:space="preserve"> on March 30, 2026</w:t>
      </w:r>
      <w:r>
        <w:rPr>
          <w:rStyle w:val="InternetLink"/>
        </w:rPr>
        <w:fldChar w:fldCharType="end"/>
      </w:r>
      <w:r>
        <w:rPr>
          <w:rFonts w:ascii="Arial Narrow;sans-serif" w:hAnsi="Arial Narrow;sans-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Recent Developments, Key Trends, Opportunities and Uncertainties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are an early-stage company with a limited operating history and intend to grow our global value chain through capital and operational expenditures, as well as through strategic initiatives. These investments may exceed our revenues over the next several years. Our revenues for the three and six months ended June 30, 2026 were derived solely from our metal-making operations following the acquisition of Less Common Metals in 2025, and we have not yet generated revenues from our neo magnet manufacturing or mineral production. We incurred a net loss of $80.0 million for the six months ended June 30, 2026. Our historical results are not indicative of our future results, and our ability to generate sufficient revenue to achieve profitability will depend largely on the successful development and scaling of our integrated mine-to-magnet platform and our global value chain.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35050"/>
                <wp:effectExtent l="0" t="0" r="0" b="0"/>
                <wp:wrapNone/>
                <wp:docPr id="31" name="Frame3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Proposed Investment in Carester SAS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April 9, 2026, we entered into a binding letter of intent, and subsequently on July 23, 2026, we entered into a definitive agreement to acquire a 13.6% equity interest in Carester SAS (“Carester”), the parent company of Caremag SAS (“Caremag”), for cash and equity consideration amounting to approximately $45.7 million. The proposed consideration consists of €28.3 million in cash, or approximately $32.4 million, and equity consideration of €11.7 million, or approximately $13.3 million, payable in shares of our common stock, in each case subject to customary adjustments, including the potential substitution of cash in lieu of our common stock. As of June 30, 2026, the transaction had not closed. We expect to close the investment in the third quarter of 2026, subject to customary closing conditions and regulatory approvals.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This transaction is part of a broader initiative, in partnership with Carester, the Government of France and InfraVia, to build an integrated value chain platform for rare earth processing, metal and alloy production and magnet making in Lacq, France. If the investment is completed, the platform will unite the technological expertise, process innovation, and production capacity of our manufacturing operations and those of Carester with the goal of accelerating development and strengthening our capabilities across the rare earth value chain. In parallel, USA Rare Earth, through Less Common Metals – Europe, is developing a 3,750 metric tons per year (“MTPA”) metal and alloy production facility at the same location. We believe the partnership will create one of Europe’s most complete rare earth industrial ecosystems.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proposed transaction is further subject to, among other things, the negotiation and execution of definitive agreements, receipt of applicable regulatory approvals, and the satisfaction of customary closing conditions and there can be no assurance that the transaction will be completed.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Proposed Acquisition of SVRE Holdings Ltd.</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April 19, 2026, we entered into a definitive agreement to acquire 100% of SVRE Holdings Ltd., the parent company of Serra Verde Group (“Serra Verde”), for a proposed consideration of approximately $2.83 billion, consisting of $300.0 million in cash and 126.8 million shares of our common stock, subject to customary adjustments. Serra Verde operates the Pela Ema rare earths project in Brazil and is currently in commercial production. The Pela Ema mine is unique as the only mine outside Asia currently capable of supplying all four magnetic REEs at scale, neodymium, praseodymium, dysprosium and terbium, together with other vital REEs, such as yttrium. This transformative acquisition, if completed, will create what we believe will be the only fully integrated mine-to-magnet platform outside China, with active capabilities across mining, processing, separation, metallization and magnet making across three continents.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Serra Verde's strategic importance is further evidenced by its 15-year offtake agreement with a special purpose vehicle capitalized by the U.S. Government, which features contractual price floors covering 100% of Serra Verde's Phase 1 production of neodymium, praseodymium, dysprosium and terbium.</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We believe this acquisition strengthens our U.S. and allied government relationships and provides multiple embedded growth opportunities, including a potential Phase 2 doubling of Pela Ema’s production capacity. The transaction also adds significant leadership depth through the expected appointment of Thrasyvoulos Moraitis and Sir Mick Davis to our Board upon closing, with Mr. Moraitis initially serving as President of the combined company, and Chief Executive Officer (“CEO”) of the combined company after our current CEO retires on October 1, 2026.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July 24, 2026, we filed a proxy statement on Schedule 14A with the SEC seeking shareholder approval of the Serra Verde acquisition at a special stockholder meeting scheduled for August 28, 2026. The transaction remains subject to customary closing conditions, including shareholder approval, receipt of applicable regulatory approvals, and the absence of material adverse effects. There can be no assurance that the transaction will be completed. The transaction is subject to customary closing conditions, including receipt of shareholder approval and applicable regulatory approvals, and there can be no assurance that it will be completed.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035050"/>
                <wp:effectExtent l="0" t="0" r="0" b="0"/>
                <wp:wrapNone/>
                <wp:docPr id="32" name="Frame3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 xml:space="preserve">Texas Semiconductor Innovation Fund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May 11, 2026, we entered into a grant agreement with the Office of the Governor of the State of Texas (the “OOG”) pursuant to the Texas Semiconductor Innovation Fund (“TSIF”) (the “TSIF Grant Agreement”), Grant No. TSIF 26-016P. Under the grant agreement, the OOG has agreed to reimburse us for certain allowable costs directly allocable to the Round Top Project, up to a maximum amount of $14.2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TSIF Grant Agreement proceeds are intended to support the development of Round Top Mountain as a domestic source of heavy rare earth elements and select technology metals, including dysprosium, hafnium, terbium, and other elements essential for high-performance permanent magnets used in the aerospace, defense, semiconductors, data center, physical AI, energy, mobility, healthcare, and numerous industrial sectors.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TSIF Grant Agreement grant funds are disbursed on a cost reimbursement basis only, and payment is dependent upon our strict compliance with the terms and conditions of the TSIF Grant Agreement, including applicable reporting, audit, and performance requirements. The TSIF Grant Agreement terminates upon the completion of the grant project, on December 31, 2028, or upon the depletion of grant funds, whichever occurs first.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U.S. Department of Energy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May 21, 2026, we were selected by the U.S. Department of Energy (the “Dept. of Energy”) to receive up to $19.3 million in funding under the “Critical Materials Innovation, Efficiency and Alternatives” program to support development of a pilot-scale rare earth element separations project. The total project value is approximately $50.5 million, including $19.3 million in the Dept. of Energy funding and $31.2 million in the non-Dept. of Energy funding. Final award terms, project scope, budget, and timeline are subject to negotiation with the Dept. of Energy. As of June 30, 2026, we had not received funding or executed a final award agreement. Selection for award negotiations does not constitute a binding commitment of federal funding. Any award is subject to successful completion of negotiations with the Dept. of Energy and the execution of a definitive funding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U.S. Department of Commerce</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On June 3, 2026, we entered into a Direct Funding Agreement (“DFA”) of $277.0 million and a Loan Guarantee Agreement (“LGA”) of $1.30 billion with the U.S. Department of Commerce (the “Dept. of Commerce”). We issued 16.1 million shares valued at $451.4 million and a warrant to acquire 17.6 million shares with an exercise price of $17.17 initially valued at $430.9 million as conditions precedent. As of June 30, 2026, no disbursements or advances had been received; initial funding is subject to milestone approval. </w:t>
      </w:r>
      <w:hyperlink w:anchor="i5f43db688c2c433f9d412b16efe97020_11278">
        <w:r>
          <w:rPr>
            <w:rStyle w:val="InternetLink"/>
            <w:rFonts w:ascii="Arial Narrow;sans-serif" w:hAnsi="Arial Narrow;sans-serif"/>
            <w:b w:val="false"/>
            <w:strike w:val="false"/>
            <w:dstrike w:val="false"/>
            <w:color w:val="000000"/>
            <w:sz w:val="20"/>
            <w:u w:val="none"/>
            <w:effect w:val="none"/>
          </w:rPr>
          <w:t>See Note</w:t>
        </w:r>
      </w:hyperlink>
      <w:r>
        <w:rPr>
          <w:rFonts w:ascii="Arial Narrow;sans-serif" w:hAnsi="Arial Narrow;sans-serif"/>
          <w:b w:val="false"/>
          <w:color w:val="000000"/>
          <w:sz w:val="20"/>
        </w:rPr>
        <w:t> 13, “Government Grants – U.S. Department of Commerce CHIPS Act Awards,” of the Notes for additional information regarding the Dept. of Commerce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Acquisition of Texas Mineral Resources Corp.</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On March 4, 2026, we entered into a definitive Agreement and Plan of Merger with Texas Mineral Resources Corp. (“TMRC”). On August 7, 2026, we closed the acquisition of TMRC, to which we acquired 100% of the outstanding shares of TMRC. The transaction is valued at approximately $73.9 million based on the closing price of the Company’s common stock on August 7, 2026. The aggregate merger consideration consists of approximately 3.8 million shares of our common stock, with cash paid in lieu of fractional shares. </w:t>
      </w:r>
      <w:hyperlink w:anchor="i5f43db688c2c433f9d412b16efe97020_7785">
        <w:r>
          <w:rPr>
            <w:rStyle w:val="InternetLink"/>
          </w:rPr>
          <w:t xml:space="preserve">See </w:t>
        </w:r>
      </w:hyperlink>
      <w:hyperlink w:anchor="i5f43db688c2c433f9d412b16efe97020_7785">
        <w:r>
          <w:rPr>
            <w:rStyle w:val="InternetLink"/>
          </w:rPr>
          <w:t>Note</w:t>
        </w:r>
      </w:hyperlink>
      <w:r>
        <w:rPr>
          <w:rFonts w:ascii="Arial Narrow;sans-serif" w:hAnsi="Arial Narrow;sans-serif"/>
          <w:b w:val="false"/>
          <w:color w:val="000000"/>
          <w:sz w:val="20"/>
        </w:rPr>
        <w:t> 4, “Variable Interest Entity,” of the Notes for additional information regarding the TMRC acquisition.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Subsequent to the closing, we will be the sole operator and 100% economic beneficiary of the “Round Top Project,” which consists of our operations and rights related to Round Top Mountain and the Round Top Mountain HREE metals deposit (the “Round Top Deposit”). The transaction secures full ownership control of the Round Top Project, and streamline operations, governance and decision-making.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35050"/>
                <wp:effectExtent l="0" t="0" r="0" b="0"/>
                <wp:wrapNone/>
                <wp:docPr id="33" name="Frame3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Second Quarter 2026 Business Highlights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Less Common Metals Yttrium Metal Production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April 15, 2026, we announced the first commercial production of 2N–2N5 (99%–99.5% purity) yttrium metal through our wholly-owned subsidiary, Less Common Metals, at its facility in Cheshire, United Kingdom. This milestone positions us among a limited number of commercial-grade yttrium metal producers outside China. Yttrium production advances our integrated value chain strategy and supports aerospace, defense, and advanced manufacturing customers requiring reliable supply sources outside China.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Blacksburg Magnet Manufacturing Facility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June 2, 2026, the Company announced the selection of Cherokee County, South Carolina, as the site of a new magnet manufacturing and refined metals operation in Bailey Industrial Park, Blacksburg, South Carolina (the “Blacksburg Facility”). The state-of-the-art facility is expected to produce 6,400 metric tons per annum (tpa) of sintered neodymium-iron-boron (NdFeB) rare earth magnets and 5,000 tpa of strip-cast metals and alloys. When combined with the planned expansion of our Stillwater Facility, total domestic capacity is expected to reach approximately 10,000 tpa of NdFeB magnets and 10,000 tpa of strip-cast metals and alloys. Engineering work and equipment procurement are underway, with site work anticipated to commence in the coming months and commissioning targeted to begin in 2028.</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Wheat Ridge Hydrometallurgical Facility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June 15, 2026, we commenced operations of our hydrometallurgical demonstration facility in Wheat Ridge, Colorado (the “Wheat Ridge Facility”), to validate processing flowsheets for feedstocks from the Round Top Project, third-party sources, and rare earth magnet scrap (swarf) recycling. Initial production results are expected to support development of the Round Top Definitive Feasibility Study.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Wheat Ridge Magnet Swarf Recycling Production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On July 14, 2026, we announced that our Wheat Ridge Facility, produced commercial-grade dysprosium oxide and neodymium-praseodymium oxide samples from recycled swarf sourced from our magnet manufacturing facility at Stillwater, Oklahoma (the “Stillwater Facility”). The oxides are expected to be sent to Less Common Metals for qualification and conversion into rare earth metals and strip cast for supply to our magnet manufacturing facilities. This production validates our magnet swarf recycling flowsheet and positions us as one of the few Western producers capable of separating commercial-grade heavy rare earth oxides outside Asia.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Results of Operations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A discussion regarding our financial condition and results of operations for the three and six months ended June 30, 2026, compared to the three and six months ended June 30, 2025, is presented below. Our operating revenues and gross margins have been derived solely from our acquisition of Less Common Metals on November 18, 2025, and the parent company had no operating revenues or gross margin prior to November 18, 2025.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currently rely on equity and other external financing to fund our business plans, including our Stillwater Facility; mineral exploration, evaluation, and development activities at the Round Top Project (collectively, “R&amp;D” costs); selling, general and administrative (“SG&amp;A”) expenses; interest expense; and other operating costs. Accordingly, we expect to incur operating losses until we achieve profitable commercial operations at our Stillwater Facility, the Round Top Project, and/or our Less Common Metals – Europe manufacturing facility located in Lacq, France.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Revenue, Gross Profit and Gross Margin</w:t>
      </w:r>
    </w:p>
    <w:p>
      <w:pPr>
        <w:pStyle w:val="TextBody"/>
        <w:bidi w:val="0"/>
        <w:spacing w:before="0" w:after="0"/>
        <w:jc w:val="both"/>
        <w:rPr/>
      </w:pPr>
      <w:r>
        <w:rPr/>
      </w: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sets forth our revenue, cost of sales, gross loss and gross margin for the period indicated.</w:t>
      </w:r>
    </w:p>
    <w:tbl>
      <w:tblPr>
        <w:tblW w:w="8598" w:type="dxa"/>
        <w:jc w:val="left"/>
        <w:tblInd w:w="0" w:type="dxa"/>
        <w:tblLayout w:type="fixed"/>
        <w:tblCellMar>
          <w:top w:w="28" w:type="dxa"/>
          <w:left w:w="28" w:type="dxa"/>
          <w:bottom w:w="28" w:type="dxa"/>
          <w:right w:w="28" w:type="dxa"/>
        </w:tblCellMar>
      </w:tblPr>
      <w:tblGrid>
        <w:gridCol w:w="124"/>
        <w:gridCol w:w="369"/>
        <w:gridCol w:w="369"/>
        <w:gridCol w:w="371"/>
        <w:gridCol w:w="468"/>
        <w:gridCol w:w="1399"/>
        <w:gridCol w:w="623"/>
        <w:gridCol w:w="109"/>
        <w:gridCol w:w="109"/>
        <w:gridCol w:w="109"/>
        <w:gridCol w:w="2311"/>
        <w:gridCol w:w="109"/>
        <w:gridCol w:w="109"/>
        <w:gridCol w:w="109"/>
        <w:gridCol w:w="109"/>
        <w:gridCol w:w="109"/>
        <w:gridCol w:w="181"/>
        <w:gridCol w:w="571"/>
        <w:gridCol w:w="24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gridSpan w:val="1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percentage)</w:t>
            </w:r>
          </w:p>
        </w:tc>
        <w:tc>
          <w:tcPr>
            <w:tcW w:w="4657" w:type="dxa"/>
            <w:gridSpan w:val="1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w:t>
            </w:r>
          </w:p>
        </w:tc>
        <w:tc>
          <w:tcPr>
            <w:tcW w:w="46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9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5,821 </w:t>
            </w:r>
          </w:p>
        </w:tc>
        <w:tc>
          <w:tcPr>
            <w:tcW w:w="62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11,519 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Cost of revenue</w:t>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7,404 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loss</w:t>
            </w:r>
          </w:p>
        </w:tc>
        <w:tc>
          <w:tcPr>
            <w:tcW w:w="468"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99"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(1,583)</w:t>
            </w:r>
          </w:p>
        </w:tc>
        <w:tc>
          <w:tcPr>
            <w:tcW w:w="623"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(1,477)</w:t>
            </w:r>
          </w:p>
        </w:tc>
        <w:tc>
          <w:tcPr>
            <w:tcW w:w="241" w:type="dxa"/>
            <w:tcBorders>
              <w:top w:val="single" w:sz="4"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w:t>
            </w:r>
          </w:p>
        </w:tc>
        <w:tc>
          <w:tcPr>
            <w:tcW w:w="1867" w:type="dxa"/>
            <w:gridSpan w:val="2"/>
            <w:tcBorders>
              <w:top w:val="double" w:sz="5"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w:t>
            </w:r>
          </w:p>
        </w:tc>
        <w:tc>
          <w:tcPr>
            <w:tcW w:w="623" w:type="dxa"/>
            <w:tcBorders>
              <w:top w:val="double" w:sz="5"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5"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w:t>
            </w:r>
          </w:p>
        </w:tc>
        <w:tc>
          <w:tcPr>
            <w:tcW w:w="241" w:type="dxa"/>
            <w:tcBorders>
              <w:top w:val="double" w:sz="5"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Comparison of the three months ended June 30, 2026 and 2025</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Revenue was $5.8 million for the three months ended June 30, 2026, all generated by Less Common Metals, which was acquired in November 2025. Cost of revenue for Q2’2026 was $7.4 million, resulting in a gross loss of $1.6 million and a negative gross margin of 27.2%.</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gross loss reflects substantially increased raw material costs in Q2’2026 that were not fully offset by increases in selling prices. Additionally, we recorded in Q2’2026 inventory adjustments.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Comparison of the six months ended June 30, 2026 and 2025</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Revenue was $11.5 million for six months ended June 30, 2026, all generated by Less Common Metals. Cost of revenue for the first half of 2026 was $13.0 million, resulting in a gross loss of $1.5 million and a negative gross margin of 12.8%.</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first half of 2026 results reflect significant variation between quarters. Q1’2026 achieved a gross margin of 1.9%, while Q2'2026 recorded a gross loss with a negative gross margin of 27.2%. The Q2’2026 deterioration was driven by higher raw material costs which increased substantially in Q2’2026 over Q1’2026; however, selling price increases partially offset this cost inflation. The gross margin decline was further compounded by inventory adjustments.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Concentration of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Revenue Attributable to Primary Geographical Markets</w:t>
      </w:r>
    </w:p>
    <w:p>
      <w:pPr>
        <w:pStyle w:val="TextBody"/>
        <w:bidi w:val="0"/>
        <w:spacing w:before="0" w:after="0"/>
        <w:jc w:val="both"/>
        <w:rPr/>
      </w:pPr>
      <w:r>
        <w:rPr/>
      </w:r>
    </w:p>
    <w:tbl>
      <w:tblPr>
        <w:tblW w:w="8003" w:type="dxa"/>
        <w:jc w:val="left"/>
        <w:tblInd w:w="0" w:type="dxa"/>
        <w:tblLayout w:type="fixed"/>
        <w:tblCellMar>
          <w:top w:w="28" w:type="dxa"/>
          <w:left w:w="28" w:type="dxa"/>
          <w:bottom w:w="28" w:type="dxa"/>
          <w:right w:w="28" w:type="dxa"/>
        </w:tblCellMar>
      </w:tblPr>
      <w:tblGrid>
        <w:gridCol w:w="124"/>
        <w:gridCol w:w="324"/>
        <w:gridCol w:w="324"/>
        <w:gridCol w:w="326"/>
        <w:gridCol w:w="109"/>
        <w:gridCol w:w="109"/>
        <w:gridCol w:w="109"/>
        <w:gridCol w:w="573"/>
        <w:gridCol w:w="1571"/>
        <w:gridCol w:w="345"/>
        <w:gridCol w:w="109"/>
        <w:gridCol w:w="2311"/>
        <w:gridCol w:w="109"/>
        <w:gridCol w:w="109"/>
        <w:gridCol w:w="109"/>
        <w:gridCol w:w="181"/>
        <w:gridCol w:w="571"/>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669"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9" w:type="dxa"/>
            <w:gridSpan w:val="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w:t>
            </w:r>
          </w:p>
        </w:tc>
        <w:tc>
          <w:tcPr>
            <w:tcW w:w="1669"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United States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1,742 </w:t>
            </w:r>
          </w:p>
        </w:tc>
        <w:tc>
          <w:tcPr>
            <w:tcW w:w="34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3,982 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Asia</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34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5,821 </w:t>
            </w:r>
          </w:p>
        </w:tc>
        <w:tc>
          <w:tcPr>
            <w:tcW w:w="34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11,519 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035050"/>
                <wp:effectExtent l="0" t="0" r="0" b="0"/>
                <wp:wrapNone/>
                <wp:docPr id="34" name="Frame33"/>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 Narrow;sans-serif" w:hAnsi="Arial Narrow;sans-serif"/>
          <w:b w:val="false"/>
          <w:color w:val="000000"/>
          <w:sz w:val="20"/>
        </w:rPr>
      </w:pPr>
      <w:r>
        <w:rPr>
          <w:rFonts w:ascii="Arial Narrow;sans-serif" w:hAnsi="Arial Narrow;sans-serif"/>
          <w:b w:val="false"/>
          <w:color w:val="000000"/>
          <w:sz w:val="20"/>
        </w:rPr>
        <w:t>The following table sets forth our results of operations and the amount of change between the periods indicated. The period-to-period comparison of financial results is not necessarily indicative of future results.</w:t>
      </w:r>
    </w:p>
    <w:tbl>
      <w:tblPr>
        <w:tblW w:w="10205" w:type="dxa"/>
        <w:jc w:val="left"/>
        <w:tblInd w:w="0" w:type="dxa"/>
        <w:tblLayout w:type="fixed"/>
        <w:tblCellMar>
          <w:top w:w="28" w:type="dxa"/>
          <w:left w:w="28" w:type="dxa"/>
          <w:bottom w:w="28" w:type="dxa"/>
          <w:right w:w="28" w:type="dxa"/>
        </w:tblCellMar>
      </w:tblPr>
      <w:tblGrid>
        <w:gridCol w:w="124"/>
        <w:gridCol w:w="513"/>
        <w:gridCol w:w="513"/>
        <w:gridCol w:w="515"/>
        <w:gridCol w:w="189"/>
        <w:gridCol w:w="598"/>
        <w:gridCol w:w="113"/>
        <w:gridCol w:w="113"/>
        <w:gridCol w:w="113"/>
        <w:gridCol w:w="113"/>
        <w:gridCol w:w="189"/>
        <w:gridCol w:w="520"/>
        <w:gridCol w:w="113"/>
        <w:gridCol w:w="109"/>
        <w:gridCol w:w="109"/>
        <w:gridCol w:w="109"/>
        <w:gridCol w:w="181"/>
        <w:gridCol w:w="571"/>
        <w:gridCol w:w="109"/>
        <w:gridCol w:w="109"/>
        <w:gridCol w:w="109"/>
        <w:gridCol w:w="109"/>
        <w:gridCol w:w="169"/>
        <w:gridCol w:w="169"/>
        <w:gridCol w:w="171"/>
        <w:gridCol w:w="109"/>
        <w:gridCol w:w="109"/>
        <w:gridCol w:w="109"/>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62"/>
        <w:gridCol w:w="162"/>
        <w:gridCol w:w="240"/>
      </w:tblGrid>
      <w:tr>
        <w:trPr/>
        <w:tc>
          <w:tcPr>
            <w:tcW w:w="12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percentages)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expenses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Selling, general and administrative</w:t>
            </w:r>
          </w:p>
        </w:tc>
        <w:tc>
          <w:tcPr>
            <w:tcW w:w="18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32,607 </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0"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6,227 </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26,380 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423.6%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53,782 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40,526 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305.7%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Research and development</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486.4%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intangible assets</w:t>
            </w:r>
          </w:p>
        </w:tc>
        <w:tc>
          <w:tcPr>
            <w:tcW w:w="78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1,356 </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NM</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18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8"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44,731 </w:t>
            </w:r>
          </w:p>
        </w:tc>
        <w:tc>
          <w:tcPr>
            <w:tcW w:w="11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0"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8,804 </w:t>
            </w:r>
          </w:p>
        </w:tc>
        <w:tc>
          <w:tcPr>
            <w:tcW w:w="113"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35,927 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81,512 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17,522 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63,990 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365.2%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8540" w:type="dxa"/>
            <w:gridSpan w:val="45"/>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NM</w:t>
      </w:r>
      <w:r>
        <w:rPr>
          <w:color w:val="000000"/>
        </w:rPr>
        <w:t>    </w:t>
      </w:r>
      <w:r>
        <w:rPr>
          <w:rFonts w:ascii="Arial Narrow;sans-serif" w:hAnsi="Arial Narrow;sans-serif"/>
          <w:b w:val="false"/>
          <w:color w:val="000000"/>
          <w:sz w:val="18"/>
        </w:rPr>
        <w:t>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Comparison of the three months ended June 30, 2026 and 2025</w:t>
      </w:r>
    </w:p>
    <w:p>
      <w:pPr>
        <w:pStyle w:val="TextBody"/>
        <w:bidi w:val="0"/>
        <w:spacing w:before="0" w:after="0"/>
        <w:jc w:val="left"/>
        <w:rPr/>
      </w:pPr>
      <w:r>
        <w:rPr/>
      </w:r>
    </w:p>
    <w:p>
      <w:pPr>
        <w:pStyle w:val="TextBody"/>
        <w:bidi w:val="0"/>
        <w:spacing w:lineRule="auto" w:line="288" w:before="0" w:after="0"/>
        <w:jc w:val="both"/>
        <w:rPr/>
      </w:pPr>
      <w:r>
        <w:rPr>
          <w:rFonts w:ascii="Arial Narrow;sans-serif" w:hAnsi="Arial Narrow;sans-serif"/>
          <w:b w:val="false"/>
          <w:i/>
          <w:color w:val="000000"/>
          <w:sz w:val="20"/>
        </w:rPr>
        <w:t>Selling, general and administrative.</w:t>
      </w:r>
      <w:r>
        <w:rPr>
          <w:color w:val="000000"/>
        </w:rPr>
        <w:t xml:space="preserve"> </w:t>
      </w:r>
      <w:r>
        <w:rPr>
          <w:rFonts w:ascii="Arial Narrow;sans-serif" w:hAnsi="Arial Narrow;sans-serif"/>
          <w:b w:val="false"/>
          <w:color w:val="000000"/>
          <w:sz w:val="20"/>
        </w:rPr>
        <w:t>The increase in SG&amp;A expenses of $26.4 million was primarily due to an increase in consulting and legal costs of $9.9 million and $6.1 million, respectively, related to business acquisitions and completion of the Dept. of Commerce’s DFA and LGA, an increase in stock-based compensation and employee compensation and benefits of $5.1 million and $4.1 million, respectively, associated with increased headcount as we expanded our organizational infrastructure, and other costs of $1.2 million.</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Research and development</w:t>
      </w:r>
      <w:r>
        <w:rPr>
          <w:rFonts w:ascii="Arial Narrow;sans-serif" w:hAnsi="Arial Narrow;sans-serif"/>
          <w:b w:val="false"/>
          <w:color w:val="000000"/>
          <w:sz w:val="20"/>
        </w:rPr>
        <w:t>. The increase in R&amp;D expenses of $8.2 million was primarily due to an increase in development costs of $2.6 million, facility costs of $2.4 million, employee compensation, benefits and stock-based compensation of $1.6 million related to an increase in headcount, and other costs of $1.6 million.</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Amortization of intangible assets</w:t>
      </w:r>
      <w:r>
        <w:rPr>
          <w:color w:val="000000"/>
        </w:rPr>
        <w:t xml:space="preserve"> </w:t>
      </w:r>
      <w:r>
        <w:rPr>
          <w:rFonts w:ascii="Arial Narrow;sans-serif" w:hAnsi="Arial Narrow;sans-serif"/>
          <w:b w:val="false"/>
          <w:color w:val="000000"/>
          <w:sz w:val="20"/>
        </w:rPr>
        <w:t>increased by $1.4 million due to intangible assets acquired in connection with the acquisition of Less Common Metals.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Comparison of the six months ended June 30, 2026 and 2025</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Selling, general and administrative.</w:t>
      </w:r>
      <w:r>
        <w:rPr>
          <w:color w:val="000000"/>
        </w:rPr>
        <w:t xml:space="preserve"> </w:t>
      </w:r>
      <w:r>
        <w:rPr>
          <w:rFonts w:ascii="Arial Narrow;sans-serif" w:hAnsi="Arial Narrow;sans-serif"/>
          <w:b w:val="false"/>
          <w:color w:val="000000"/>
          <w:sz w:val="20"/>
        </w:rPr>
        <w:t>SG&amp;A expenses increased by $40.5 million, primarily due to higher legal and consulting costs of $11.1 million and $9.1 million, respectively, related to merger and acquisition activities, and completion of the Dept. of Commerce’s DFA and LGA, and an increase in stock</w:t>
        <w:noBreakHyphen/>
        <w:t>based compensation and employee compensation and benefits of $9.4 million and $7.2 million, respectively, both associated with an increase in headcount as we expanded our organizational infrastructure. The increase was further driven by other costs of $3.7 million.</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Research and development.</w:t>
      </w:r>
      <w:r>
        <w:rPr>
          <w:color w:val="000000"/>
        </w:rPr>
        <w:t xml:space="preserve"> </w:t>
      </w:r>
      <w:r>
        <w:rPr>
          <w:rFonts w:ascii="Arial Narrow;sans-serif" w:hAnsi="Arial Narrow;sans-serif"/>
          <w:b w:val="false"/>
          <w:color w:val="000000"/>
          <w:sz w:val="20"/>
        </w:rPr>
        <w:t>R&amp;D expenses increased by $20.8 million, primarily due to higher development costs of $8.0 million and an increase in employee</w:t>
        <w:noBreakHyphen/>
        <w:t>related costs of $5.3 million, reflecting higher headcount and stock</w:t>
        <w:noBreakHyphen/>
        <w:t>based compensation. The increase was further driven by consulting costs of $2.7 million, facility and insurance costs of $3.1 million, and other costs of $1.7 million.</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Amortization of intangible assets</w:t>
      </w:r>
      <w:r>
        <w:rPr>
          <w:color w:val="000000"/>
        </w:rPr>
        <w:t xml:space="preserve"> </w:t>
      </w:r>
      <w:r>
        <w:rPr>
          <w:rFonts w:ascii="Arial Narrow;sans-serif" w:hAnsi="Arial Narrow;sans-serif"/>
          <w:b w:val="false"/>
          <w:color w:val="000000"/>
          <w:sz w:val="20"/>
        </w:rPr>
        <w:t>increased by $2.7 million due to intangible assets acquired in connection with the acquisition of Less Common Metals.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035050"/>
                <wp:effectExtent l="0" t="0" r="0" b="0"/>
                <wp:wrapNone/>
                <wp:docPr id="35" name="Frame34"/>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544"/>
        <w:gridCol w:w="488"/>
        <w:gridCol w:w="395"/>
        <w:gridCol w:w="181"/>
        <w:gridCol w:w="571"/>
        <w:gridCol w:w="109"/>
        <w:gridCol w:w="109"/>
        <w:gridCol w:w="109"/>
        <w:gridCol w:w="109"/>
        <w:gridCol w:w="181"/>
        <w:gridCol w:w="655"/>
        <w:gridCol w:w="109"/>
        <w:gridCol w:w="109"/>
        <w:gridCol w:w="109"/>
        <w:gridCol w:w="109"/>
        <w:gridCol w:w="181"/>
        <w:gridCol w:w="646"/>
        <w:gridCol w:w="109"/>
        <w:gridCol w:w="109"/>
        <w:gridCol w:w="109"/>
        <w:gridCol w:w="109"/>
        <w:gridCol w:w="180"/>
        <w:gridCol w:w="173"/>
        <w:gridCol w:w="174"/>
        <w:gridCol w:w="109"/>
        <w:gridCol w:w="109"/>
        <w:gridCol w:w="109"/>
        <w:gridCol w:w="181"/>
        <w:gridCol w:w="496"/>
        <w:gridCol w:w="109"/>
        <w:gridCol w:w="109"/>
        <w:gridCol w:w="109"/>
        <w:gridCol w:w="109"/>
        <w:gridCol w:w="181"/>
        <w:gridCol w:w="579"/>
        <w:gridCol w:w="109"/>
        <w:gridCol w:w="109"/>
        <w:gridCol w:w="109"/>
        <w:gridCol w:w="109"/>
        <w:gridCol w:w="181"/>
        <w:gridCol w:w="571"/>
        <w:gridCol w:w="109"/>
        <w:gridCol w:w="109"/>
        <w:gridCol w:w="109"/>
        <w:gridCol w:w="109"/>
        <w:gridCol w:w="193"/>
        <w:gridCol w:w="193"/>
        <w:gridCol w:w="194"/>
      </w:tblGrid>
      <w:tr>
        <w:trPr/>
        <w:tc>
          <w:tcPr>
            <w:tcW w:w="1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9"/>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9"/>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for percentages)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54" w:type="dxa"/>
            <w:gridSpan w:val="45"/>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Other income (expense), net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Grant income</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NM</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fair market value of financial instruments,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(71.6)%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 and other expense, net</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(3,759)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NM</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(4,265)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income (expense), net</w:t>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33,838 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(133,909)</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167,747 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1,868 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(73,509)</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75,377 </w:t>
            </w:r>
          </w:p>
        </w:tc>
        <w:tc>
          <w:tcPr>
            <w:tcW w:w="109"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NM</w:t>
      </w:r>
      <w:r>
        <w:rPr>
          <w:color w:val="000000"/>
        </w:rPr>
        <w:t>    </w:t>
      </w:r>
      <w:r>
        <w:rPr>
          <w:rFonts w:ascii="Arial Narrow;sans-serif" w:hAnsi="Arial Narrow;sans-serif"/>
          <w:b w:val="false"/>
          <w:color w:val="000000"/>
          <w:sz w:val="18"/>
        </w:rPr>
        <w:t>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 Narrow;sans-serif" w:hAnsi="Arial Narrow;sans-serif"/>
          <w:b w:val="false"/>
          <w:i/>
          <w:color w:val="000000"/>
          <w:sz w:val="20"/>
        </w:rPr>
      </w:pPr>
      <w:r>
        <w:rPr>
          <w:rFonts w:ascii="Arial Narrow;sans-serif" w:hAnsi="Arial Narrow;sans-serif"/>
          <w:b w:val="false"/>
          <w:i/>
          <w:color w:val="000000"/>
          <w:sz w:val="20"/>
        </w:rPr>
        <w:t>Other (expense) income, net.</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i/>
          <w:color w:val="000000"/>
          <w:sz w:val="20"/>
        </w:rPr>
        <w:t>Dividend income</w:t>
      </w:r>
      <w:r>
        <w:rPr>
          <w:color w:val="000000"/>
        </w:rPr>
        <w:t xml:space="preserve"> </w:t>
      </w:r>
      <w:r>
        <w:rPr>
          <w:rFonts w:ascii="Arial Narrow;sans-serif" w:hAnsi="Arial Narrow;sans-serif"/>
          <w:b w:val="false"/>
          <w:color w:val="000000"/>
          <w:sz w:val="20"/>
        </w:rPr>
        <w:t>increased by $14.6 million and $26.4 million for the three and six months ended June 30, 2026, respectively, over the comparable periods in the prior year, primarily due to returns on money market funds, such as our investments in a prime money market fund and a U.S. Government money market fund.</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i/>
          <w:color w:val="000000"/>
          <w:sz w:val="20"/>
        </w:rPr>
        <w:t>Grant income</w:t>
      </w:r>
      <w:r>
        <w:rPr>
          <w:color w:val="000000"/>
        </w:rPr>
        <w:t xml:space="preserve"> </w:t>
      </w:r>
      <w:r>
        <w:rPr>
          <w:rFonts w:ascii="Arial Narrow;sans-serif" w:hAnsi="Arial Narrow;sans-serif"/>
          <w:b w:val="false"/>
          <w:color w:val="000000"/>
          <w:sz w:val="20"/>
        </w:rPr>
        <w:t>increased by $0.2 million and $0.4 million for the three and six months ended June 30, 2026, respectively, over the comparable periods in the prior year, reflecting grant revenue generated by Less Common Metals, which was acquired on November 18, 2025. Grant income for the current period includes only post</w:t>
        <w:noBreakHyphen/>
        <w:t>acquisition activity, whereas the prior period did not include any grant income from this business.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i/>
          <w:color w:val="000000"/>
          <w:sz w:val="20"/>
        </w:rPr>
        <w:t>(Loss) gain on fair market value of financial instruments, net</w:t>
      </w:r>
      <w:r>
        <w:rPr>
          <w:color w:val="000000"/>
        </w:rPr>
        <w:t xml:space="preserve"> </w:t>
      </w:r>
      <w:r>
        <w:rPr>
          <w:rFonts w:ascii="Arial Narrow;sans-serif" w:hAnsi="Arial Narrow;sans-serif"/>
          <w:b w:val="false"/>
          <w:color w:val="000000"/>
          <w:sz w:val="20"/>
        </w:rPr>
        <w:t>reflected a loss of $157.1 million and $53.2 million for the three and six months ended June 30, 2026, respectively, over the comparable periods in the prior year, primarily driven by the following:</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i/>
          <w:color w:val="000000"/>
          <w:sz w:val="20"/>
        </w:rPr>
        <w:t>Earnout Liability</w:t>
      </w:r>
      <w:r>
        <w:rPr>
          <w:rFonts w:ascii="Arial Narrow;sans-serif" w:hAnsi="Arial Narrow;sans-serif"/>
          <w:b w:val="false"/>
          <w:color w:val="000000"/>
          <w:sz w:val="20"/>
        </w:rPr>
        <w:t>. The fair value loss on the earnout increased $17.0 million in Q2'2026 ($70.7 million versus $53.8 million in the prior year). Year-to-date, the earnout increased $106.8 million ($107.2 million in 2026 versus $0.4 million in the prior year). The earnout shares were fully vested during the six months ended June 30, 2026 and the earnout was no longer outstanding at the end of the period.</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i/>
          <w:color w:val="000000"/>
          <w:sz w:val="20"/>
        </w:rPr>
        <w:t>Series A Warrants</w:t>
      </w:r>
      <w:r>
        <w:rPr>
          <w:rFonts w:ascii="Arial Narrow;sans-serif" w:hAnsi="Arial Narrow;sans-serif"/>
          <w:b w:val="false"/>
          <w:color w:val="000000"/>
          <w:sz w:val="20"/>
        </w:rPr>
        <w:t>. Outstanding Series A Warrants generated a loss of $14.2 million in Q2’2026, an $11.5 million improvement versus the prior-year loss of $25.7 million, driven by our lower stock price at the quarter end. Year-to-date, Series A Warrant activity resulted in a loss of $21.3 million in 2026 versus $29.6 million in the prior year.</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i/>
          <w:color w:val="000000"/>
          <w:sz w:val="20"/>
        </w:rPr>
        <w:t>Government Grant Warrant</w:t>
      </w:r>
      <w:r>
        <w:rPr>
          <w:rFonts w:ascii="Arial Narrow;sans-serif" w:hAnsi="Arial Narrow;sans-serif"/>
          <w:b w:val="false"/>
          <w:color w:val="000000"/>
          <w:sz w:val="20"/>
        </w:rPr>
        <w:t xml:space="preserve">. We issued Government Grant Warrants under the Dept. of Commerce LGA in Q2’2026 with an initial fair value of $430.9 million. The warrant was remeasured to $323.5 million at June 30, 2026, resulting in a fair value gain of $107.4 million. The fair value methodology and assumptions and details of the Government Grant Warrants are detailed in </w:t>
      </w:r>
      <w:hyperlink w:anchor="i5f43db688c2c433f9d412b16efe97020_549755825177">
        <w:r>
          <w:rPr>
            <w:rStyle w:val="InternetLink"/>
            <w:rFonts w:ascii="Arial Narrow;sans-serif" w:hAnsi="Arial Narrow;sans-serif"/>
            <w:b w:val="false"/>
            <w:strike w:val="false"/>
            <w:dstrike w:val="false"/>
            <w:color w:val="000000"/>
            <w:sz w:val="20"/>
            <w:u w:val="none"/>
            <w:effect w:val="none"/>
          </w:rPr>
          <w:t>Note</w:t>
        </w:r>
      </w:hyperlink>
      <w:r>
        <w:rPr>
          <w:rFonts w:ascii="Arial Narrow;sans-serif" w:hAnsi="Arial Narrow;sans-serif"/>
          <w:b w:val="false"/>
          <w:color w:val="000000"/>
          <w:sz w:val="20"/>
        </w:rPr>
        <w:t xml:space="preserve"> 2, “Fair Value Measurements,” of the Notes.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i/>
          <w:color w:val="000000"/>
          <w:sz w:val="20"/>
        </w:rPr>
        <w:t>Other items</w:t>
      </w:r>
      <w:r>
        <w:rPr>
          <w:rFonts w:ascii="Arial Narrow;sans-serif" w:hAnsi="Arial Narrow;sans-serif"/>
          <w:b w:val="false"/>
          <w:color w:val="000000"/>
          <w:sz w:val="20"/>
        </w:rPr>
        <w:t>. Remaining activity includes settlement of prior-period derivative liabilities and rounding differences account for the variance between the detailed instrument calculations and reported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035050"/>
                <wp:effectExtent l="0" t="0" r="0" b="0"/>
                <wp:wrapNone/>
                <wp:docPr id="36" name="Frame35"/>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ind w:left="0" w:right="0" w:hanging="360"/>
        <w:jc w:val="both"/>
        <w:rPr/>
      </w:pPr>
      <w:r>
        <w:rPr>
          <w:color w:val="000000"/>
        </w:rPr>
        <w:t>•</w:t>
      </w:r>
      <w:r>
        <w:rPr>
          <w:rFonts w:ascii="Arial Narrow;sans-serif" w:hAnsi="Arial Narrow;sans-serif"/>
          <w:b w:val="false"/>
          <w:i/>
          <w:color w:val="000000"/>
          <w:sz w:val="20"/>
        </w:rPr>
        <w:t>Interest expense and other expense, net</w:t>
      </w:r>
      <w:r>
        <w:rPr>
          <w:color w:val="000000"/>
        </w:rPr>
        <w:t xml:space="preserve"> </w:t>
      </w:r>
      <w:r>
        <w:rPr>
          <w:rFonts w:ascii="Arial Narrow;sans-serif" w:hAnsi="Arial Narrow;sans-serif"/>
          <w:b w:val="false"/>
          <w:color w:val="000000"/>
          <w:sz w:val="20"/>
        </w:rPr>
        <w:t xml:space="preserve">primarily reflects $4.5 million of liquidated damages recorded under the Registration Rights Agreement during the second quarter of 2026. The liquidated damages were triggered by the suspension of the Company’s Form S-1 (File No. 333-293172), originally filed on February 3, 2026, from March 30 through June 5, 2026. In addition, we incurred unrealized losses from our investment in a prime money market fund, and interest expense on the Barclays Bank PLC trade cycle loan facility previously entered into by Less Common Metals, which was repaid in full in the first quarter of 2026. These losses were partially offset by unrealized foreign exchange gains.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91"/>
        <w:gridCol w:w="377"/>
        <w:gridCol w:w="381"/>
        <w:gridCol w:w="181"/>
        <w:gridCol w:w="593"/>
        <w:gridCol w:w="109"/>
        <w:gridCol w:w="109"/>
        <w:gridCol w:w="109"/>
        <w:gridCol w:w="109"/>
        <w:gridCol w:w="181"/>
        <w:gridCol w:w="668"/>
        <w:gridCol w:w="109"/>
        <w:gridCol w:w="109"/>
        <w:gridCol w:w="109"/>
        <w:gridCol w:w="109"/>
        <w:gridCol w:w="181"/>
        <w:gridCol w:w="646"/>
        <w:gridCol w:w="109"/>
        <w:gridCol w:w="109"/>
        <w:gridCol w:w="109"/>
        <w:gridCol w:w="109"/>
        <w:gridCol w:w="170"/>
        <w:gridCol w:w="170"/>
        <w:gridCol w:w="171"/>
        <w:gridCol w:w="109"/>
        <w:gridCol w:w="109"/>
        <w:gridCol w:w="109"/>
        <w:gridCol w:w="181"/>
        <w:gridCol w:w="593"/>
        <w:gridCol w:w="241"/>
        <w:gridCol w:w="109"/>
        <w:gridCol w:w="109"/>
        <w:gridCol w:w="109"/>
        <w:gridCol w:w="181"/>
        <w:gridCol w:w="593"/>
        <w:gridCol w:w="241"/>
        <w:gridCol w:w="109"/>
        <w:gridCol w:w="109"/>
        <w:gridCol w:w="109"/>
        <w:gridCol w:w="181"/>
        <w:gridCol w:w="496"/>
        <w:gridCol w:w="109"/>
        <w:gridCol w:w="109"/>
        <w:gridCol w:w="109"/>
        <w:gridCol w:w="109"/>
        <w:gridCol w:w="162"/>
        <w:gridCol w:w="162"/>
        <w:gridCol w:w="239"/>
      </w:tblGrid>
      <w:tr>
        <w:trPr/>
        <w:tc>
          <w:tcPr>
            <w:tcW w:w="49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w:t>
            </w:r>
          </w:p>
        </w:tc>
      </w:tr>
      <w:tr>
        <w:trPr/>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4"/>
              </w:rPr>
            </w:pPr>
            <w:r>
              <w:rPr>
                <w:rFonts w:ascii="Arial Narrow;sans-serif" w:hAnsi="Arial Narrow;sans-serif"/>
                <w:b w:val="false"/>
                <w:i/>
                <w:color w:val="000000"/>
                <w:sz w:val="14"/>
              </w:rPr>
              <w:t>(In thousands, except percentages and basis points)</w:t>
            </w:r>
          </w:p>
        </w:tc>
      </w:tr>
      <w:tr>
        <w:trPr/>
        <w:tc>
          <w:tcPr>
            <w:tcW w:w="1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before income taxes</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(12,476)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(142,713)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130,237 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(91.3)%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(81,121)</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(91,031)</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9,910 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(10.9)%</w:t>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Benefit from income taxes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NM</w:t>
            </w:r>
          </w:p>
        </w:tc>
      </w:tr>
      <w:tr>
        <w:trPr/>
        <w:tc>
          <w:tcPr>
            <w:tcW w:w="12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Effective tax rate</w:t>
            </w:r>
          </w:p>
        </w:tc>
        <w:tc>
          <w:tcPr>
            <w:tcW w:w="883" w:type="dxa"/>
            <w:gridSpan w:val="3"/>
            <w:tcBorders>
              <w:top w:val="double" w:sz="5"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5"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5"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double" w:sz="5"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top w:val="double" w:sz="5"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double" w:sz="5"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double" w:sz="5"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5" w:space="0" w:color="000000"/>
              <w:bottom w:val="double" w:sz="5"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130 bps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r>
        <w:trPr/>
        <w:tc>
          <w:tcPr>
            <w:tcW w:w="1249"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NM</w:t>
      </w:r>
      <w:r>
        <w:rPr>
          <w:color w:val="000000"/>
        </w:rPr>
        <w:t>    </w:t>
      </w:r>
      <w:r>
        <w:rPr>
          <w:rFonts w:ascii="Arial Narrow;sans-serif" w:hAnsi="Arial Narrow;sans-serif"/>
          <w:b w:val="false"/>
          <w:color w:val="000000"/>
          <w:sz w:val="18"/>
        </w:rPr>
        <w:t>Not meaningful.</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Benefit from income taxes</w:t>
      </w:r>
      <w:r>
        <w:rPr>
          <w:rFonts w:ascii="Arial Narrow;sans-serif" w:hAnsi="Arial Narrow;sans-serif"/>
          <w:b w:val="false"/>
          <w:color w:val="000000"/>
          <w:sz w:val="20"/>
        </w:rPr>
        <w:t>. The increase of benefits from income taxes of $0.5 million and $1.1 million for the three and six months ended June 30, 2026, compared to the comparable periods of the prior year, respectively, was primarily attributable to the forecasted taxable activities of our Less Common Metals subsidiary following the acquisition on November 18, 2025.</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 xml:space="preserve">Effective tax rate. </w:t>
      </w:r>
      <w:r>
        <w:rPr>
          <w:rFonts w:ascii="Arial Narrow;sans-serif" w:hAnsi="Arial Narrow;sans-serif"/>
          <w:b w:val="false"/>
          <w:color w:val="000000"/>
          <w:sz w:val="20"/>
        </w:rPr>
        <w:t>Our effective tax rate of 1.3% for the six months ended June 30, 2026, was affected by changes in valuation allowances, recurring permanent differences and discrete items that may occur in any given year, but are not necessarily consistent from year to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Liquidity and Capital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are an early</w:t>
        <w:noBreakHyphen/>
        <w:t>stage company with a limited operating history. Our 2026 revenues were derived solely from our metal-making operations following the acquisition of Less Common Metals on November 18, 2025, and we have not yet generated revenues from our neo magnet manufacturing or mineral production at the Stillwater Facility. As we expand our production capacity, we expect to incur significant operating expenses without generating sufficient revenues to cover these expenditures.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believe that our existing cash and cash equivalents will be sufficient to fund our planned near</w:t>
        <w:noBreakHyphen/>
        <w:t>term operating and capital expenditure requirements for at least the next twelve months. However, our long</w:t>
        <w:noBreakHyphen/>
        <w:t>term capital requirements, particularly those associated with the full development of the Round Top Project, the build</w:t>
        <w:noBreakHyphen/>
        <w:t>out of the Stillwater Facility, the build-out of the Blacksburg Facility, and the build-out of the Less Common Metals – Europe manufacturing facility are expected to exceed our current resources, and we will require additional capital to fund these long</w:t>
        <w:noBreakHyphen/>
        <w:t>term initiatives.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are evaluating opportunities to expand our rare earth magnet manufacturing capacity to support anticipated growth in demand across key sectors, including aerospace, defense, semiconductors, data center, physical AI, energy, mobility, healthcare, and numerous industrial sectors. As part of this process, we are assessing potential investments in additional production capabilities to enhance operational flexibility and support a more resilient and diversified manufacturing footprint. These assessments include both expansion of existing facilities and development of new manufacturing sites and take into account a range of factors, including workforce availability and our ability to attract and retain qualified personnel, access to transportation infrastructure, availability of reliable and cost-effective utilities (including electrical power and water), site suitability and scalability, regulatory considerations, and community and stakeholder support.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035050"/>
                <wp:effectExtent l="0" t="0" r="0" b="0"/>
                <wp:wrapNone/>
                <wp:docPr id="37" name="Frame36"/>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expect to incur significant future cash outflows related to strategic investments, acquisitions, and the continued development of our operating and manufacturing assets. These cash requirements may include consideration payable in connection with potential acquisitions or investments, transaction</w:t>
        <w:noBreakHyphen/>
        <w:t>related costs, and capital expenditures associated with the development of the Round Top Project, the development of the Stillwater Facility, the development of the Blacksburg Facility, and the development of the Less Common Metals – Europe facility. The timing and amount of such expenditures will depend on the progression of these transactions and projects and the satisfaction of applicable conditions.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We intend to pursue potential sources of financing to support these initiatives, including equity financings and debt financings. To meet certain milestones to obtain the funding awards and debt financing under the Dept. of Commerce DFA and LGA, respectively (the “Funding Agreements”), to reimburse us for our capital expenditures, and to execute on our current business plan, including the acquisition of Serra Verde and the expansion of facilities for our operations, we will be required to raise a significant amount of capital during 2027.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Under the Funding Agreements, we are required to raise equity (which could include, at our option, up to $300.0 million of convertible loan notes) in the following amounts by the corresponding dates: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On or prior to March 31, 2027, we are required to raise an additional aggregate amount of equity equal to $375.0 million plus the total cash acquisition costs for the announced proposed acquisition of Serra Verde.</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On or prior to December 31, 2027, we are required to raise an additional aggregate amount of equity equal to $875.0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Under the Funding Agreements, we are also required to establish a revolving credit facility in an aggregate principal amount not to exceed $250.0 million by June 30, 2027. In addition to the equity raise requirements described above, we are required to raise an aggregate amount of equity that is sufficient to satisfy the cash collateral required under such working capital facility.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There can be no assurance that any government funding or other funding will be obtained, or as to the timing or amount of any proceeds. Debt financings may impose additional operational limits on our business and increase our interest expense, and equity or equity-linked financings could result in additional dilution to our shareholders.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Our ability to raise additional capital on acceptable terms is subject to market conditions, our operational progress, and our ability to satisfy applicable milestones and conditions, and there can be no assurance that such additional capital will be available on acceptable terms or at all.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Sources and Uses of Cash</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Our primary sources of liquidity have consisted of equity financing. For the six months ended June 30, 2026, we had a net loss of $80.0 million, which included a non-cash fair value loss on financial instruments of $21.1 million. Net cash used in operating activities during the period was $75.3 million. As of June 30, 2026, we had $1.53 billion in unrestricted cash and cash equivalents.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Outside of revenue generated from our metal-making operations in the United Kingdom, our operations in the U.S. have not yet generated revenues from neo-magnet manufacturing or critical mineral production, and we expect to continue to use cash in our consolidated operating activities for the foreseeable future as we invest in commercializing our integrated mine-to-magnet platform. Our primary near-term uses of cash include:</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Stillwater Facility development – completing the qualification of sintered NdFeB permanent magnet production, procuring feedstock, and ramping toward initial commercial production;</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Less Common Metals expansion – expanding the current manufacturing site in Cheshire, United Kingdom and expanding the Less Common Metals – Europe manufacturing site in Lacq, France.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 xml:space="preserve">Round Top Project advancement – funding the ongoing Preliminary Feasibility Study, constructing and operating the demonstration facility, and advancing toward a Definitive Feasibility Study and, ultimately, mine construction; a portion of these costs are expected to be funded through the TSIF Grant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035050"/>
                <wp:effectExtent l="0" t="0" r="0" b="0"/>
                <wp:wrapNone/>
                <wp:docPr id="38" name="Frame37"/>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Blacksburg Facility development – developing our new magnet manufacturing and refined metals operation in Bailey Industrial Park, Blacksburg;</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SVRE Holdings Ltd. acquisition – completion of the acquisition of SVRE Holdings Ltd. strengthens our U.S. and allied government relationships and provides multiple embedded growth opportunities, including a potential Phase 2 doubling of Pela Ema’s production capacity;</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Carester SAS – to build an integrated value chain platform for rare earth processing, metal and alloy production and magnet making in Lacq, France;</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Texas Mineral Resources Corp. – to secure full ownership control of the Round Top Project, and streamline operations, governance and decision-making; and</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General corporate and administrative expenses – supporting our growing operations, including personnel, legal, regulatory, and compliance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i/>
          <w:color w:val="000000"/>
          <w:sz w:val="20"/>
        </w:rPr>
        <w:t>Acquisition of SVRE Holdings Ltd.</w:t>
      </w:r>
      <w:r>
        <w:rPr>
          <w:color w:val="000000"/>
        </w:rPr>
        <w:t xml:space="preserve"> </w:t>
      </w:r>
      <w:r>
        <w:rPr>
          <w:rFonts w:ascii="Arial Narrow;sans-serif" w:hAnsi="Arial Narrow;sans-serif"/>
          <w:b w:val="false"/>
          <w:color w:val="000000"/>
          <w:sz w:val="20"/>
        </w:rPr>
        <w:t>The Serra Verde acquisition, when completed, would require payment of $300.0 million in cash consideration, representing a significant near-term cash obligation. In addition, we expect to incur approximately $16.6 million of employer payroll taxes related to the settlement of cash and equity incentive awards held by certain Serra Verde employees and other service providers.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remaining approximately $2.53 billion in consideration would be settled through the issuance of 126.8 million shares of our common stock, resulting in substantial dilution to existing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i/>
          <w:color w:val="000000"/>
          <w:sz w:val="20"/>
        </w:rPr>
        <w:t>Investment in Carester SAS.</w:t>
      </w:r>
      <w:r>
        <w:rPr>
          <w:color w:val="000000"/>
        </w:rPr>
        <w:t xml:space="preserve"> </w:t>
      </w:r>
      <w:r>
        <w:rPr>
          <w:rFonts w:ascii="Arial Narrow;sans-serif" w:hAnsi="Arial Narrow;sans-serif"/>
          <w:b w:val="false"/>
          <w:color w:val="000000"/>
          <w:sz w:val="20"/>
        </w:rPr>
        <w:t>The Carester investment, when completed, has an aggregate estimated value of €40.0 million, or approximately $45.7 million. Upon consummation of the transaction, the proposed investment would require a cash payment of €28.3 million, or approximately $32.4 million. The remaining consideration consists of equity consideration of €11.7 million, or approximately $13.3 million, to be settled through the issuance of shares of our common stock, subject to customary adjustments, including the potential substitution of cash in lieu of our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i/>
          <w:color w:val="000000"/>
          <w:sz w:val="20"/>
        </w:rPr>
        <w:t>Acquisition of Texas Mineral Resources Corp.</w:t>
      </w:r>
      <w:r>
        <w:rPr>
          <w:color w:val="000000"/>
        </w:rPr>
        <w:t xml:space="preserve"> </w:t>
      </w:r>
      <w:r>
        <w:rPr>
          <w:rFonts w:ascii="Arial Narrow;sans-serif" w:hAnsi="Arial Narrow;sans-serif"/>
          <w:b w:val="false"/>
          <w:color w:val="000000"/>
          <w:sz w:val="20"/>
        </w:rPr>
        <w:t>The TMRC merger consideration consists solely of 3.8 million shares of our common stock and will not result in a material cash outlay. The transaction will result in dilution to our existing stockholders and we will bear transaction-related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i/>
          <w:color w:val="000000"/>
          <w:sz w:val="20"/>
        </w:rPr>
        <w:t>U.S. Department of Energy Critical Materials Innovation, Efficiency and Alternatives Program</w:t>
      </w:r>
      <w:r>
        <w:rPr>
          <w:rFonts w:ascii="Arial Narrow;sans-serif" w:hAnsi="Arial Narrow;sans-serif"/>
          <w:b w:val="false"/>
          <w:color w:val="000000"/>
          <w:sz w:val="20"/>
        </w:rPr>
        <w:t>. The Dept. of Energy grant provides reimbursement of up to a maximum amount of $19.3 million on certain allowable costs to support development of a pilot-scale rare earth element separations project. Final award terms, project scope, budget, and timeline are subject to negotiation with the Dept. of Energy. Any award is subject to successful completion of negotiations with the Dept. of Energy and the execution of a definitive funding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i/>
          <w:color w:val="000000"/>
          <w:sz w:val="20"/>
        </w:rPr>
        <w:t>Texas Semiconductor Innovation Fund</w:t>
      </w:r>
      <w:r>
        <w:rPr>
          <w:rFonts w:ascii="Arial Narrow;sans-serif" w:hAnsi="Arial Narrow;sans-serif"/>
          <w:b w:val="false"/>
          <w:color w:val="000000"/>
          <w:sz w:val="20"/>
        </w:rPr>
        <w:t>. The TSIF Grant Agreement provides for reimbursement of certain allowable costs directly allocable to the Round Top Project up to a maximum amount of $14.2 million. The TSIF Grant Agreement grant funds are disbursed on a cost reimbursement basis only and are subject to our strict compliance with the terms and conditions of the TSIF Grant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i/>
          <w:color w:val="000000"/>
          <w:sz w:val="20"/>
        </w:rPr>
        <w:t>Facility and Equipment Leases.</w:t>
      </w:r>
      <w:r>
        <w:rPr>
          <w:color w:val="000000"/>
        </w:rPr>
        <w:t xml:space="preserve"> </w:t>
      </w:r>
      <w:r>
        <w:rPr>
          <w:rFonts w:ascii="Arial Narrow;sans-serif" w:hAnsi="Arial Narrow;sans-serif"/>
          <w:b w:val="false"/>
          <w:color w:val="000000"/>
          <w:sz w:val="20"/>
        </w:rPr>
        <w:t xml:space="preserve">We lease facilities and equipment under fixed noncancelable operating leases that expire on various dates through fiscal year 2032. </w:t>
      </w:r>
      <w:hyperlink w:anchor="i5f43db688c2c433f9d412b16efe97020_574">
        <w:r>
          <w:rPr>
            <w:rStyle w:val="InternetLink"/>
            <w:rFonts w:ascii="Arial Narrow;sans-serif" w:hAnsi="Arial Narrow;sans-serif"/>
            <w:b w:val="false"/>
            <w:strike w:val="false"/>
            <w:dstrike w:val="false"/>
            <w:color w:val="000000"/>
            <w:sz w:val="20"/>
            <w:u w:val="none"/>
            <w:effect w:val="none"/>
          </w:rPr>
          <w:t>See Note</w:t>
        </w:r>
      </w:hyperlink>
      <w:r>
        <w:rPr>
          <w:rFonts w:ascii="Arial Narrow;sans-serif" w:hAnsi="Arial Narrow;sans-serif"/>
          <w:b w:val="false"/>
          <w:color w:val="000000"/>
          <w:sz w:val="20"/>
        </w:rPr>
        <w:t xml:space="preserve"> 5, “Commitments and Contingencies – Leases,” of the Notes for additional information related to our fixed noncancelable operating leases.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035050"/>
                <wp:effectExtent l="0" t="0" r="0" b="0"/>
                <wp:wrapNone/>
                <wp:docPr id="39" name="Frame38"/>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Cash Flows</w:t>
      </w:r>
    </w:p>
    <w:p>
      <w:pPr>
        <w:pStyle w:val="TextBody"/>
        <w:bidi w:val="0"/>
        <w:spacing w:before="0" w:after="0"/>
        <w:jc w:val="both"/>
        <w:rPr/>
      </w:pPr>
      <w:r>
        <w:rPr/>
      </w:r>
    </w:p>
    <w:tbl>
      <w:tblPr>
        <w:tblW w:w="7564" w:type="dxa"/>
        <w:jc w:val="left"/>
        <w:tblInd w:w="0" w:type="dxa"/>
        <w:tblLayout w:type="fixed"/>
        <w:tblCellMar>
          <w:top w:w="28" w:type="dxa"/>
          <w:left w:w="28" w:type="dxa"/>
          <w:bottom w:w="28" w:type="dxa"/>
          <w:right w:w="28" w:type="dxa"/>
        </w:tblCellMar>
      </w:tblPr>
      <w:tblGrid>
        <w:gridCol w:w="960"/>
        <w:gridCol w:w="845"/>
        <w:gridCol w:w="849"/>
        <w:gridCol w:w="109"/>
        <w:gridCol w:w="109"/>
        <w:gridCol w:w="109"/>
        <w:gridCol w:w="109"/>
        <w:gridCol w:w="190"/>
        <w:gridCol w:w="190"/>
        <w:gridCol w:w="316"/>
        <w:gridCol w:w="1077"/>
        <w:gridCol w:w="190"/>
        <w:gridCol w:w="109"/>
        <w:gridCol w:w="109"/>
        <w:gridCol w:w="109"/>
        <w:gridCol w:w="181"/>
        <w:gridCol w:w="616"/>
        <w:gridCol w:w="109"/>
        <w:gridCol w:w="109"/>
        <w:gridCol w:w="109"/>
        <w:gridCol w:w="109"/>
        <w:gridCol w:w="181"/>
        <w:gridCol w:w="61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8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0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16"/>
              </w:rPr>
            </w:pPr>
            <w:r>
              <w:rPr>
                <w:rFonts w:ascii="Arial Narrow;sans-serif" w:hAnsi="Arial Narrow;sans-serif"/>
                <w:b w:val="false"/>
                <w:i/>
                <w:color w:val="000000"/>
                <w:sz w:val="16"/>
              </w:rPr>
              <w:t>(In thousands)</w:t>
            </w:r>
          </w:p>
        </w:tc>
      </w:tr>
      <w:tr>
        <w:trPr/>
        <w:tc>
          <w:tcPr>
            <w:tcW w:w="26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7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(75,324)</w:t>
            </w:r>
          </w:p>
        </w:tc>
        <w:tc>
          <w:tcPr>
            <w:tcW w:w="1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(18,238)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(57,086)</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(108,388)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1,419,331 </w:t>
            </w:r>
          </w:p>
        </w:tc>
        <w:tc>
          <w:tcPr>
            <w:tcW w:w="19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129,565 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1,289,766 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 Narrow;sans-serif" w:hAnsi="Arial Narrow;sans-serif"/>
          <w:b w:val="false"/>
          <w:i/>
          <w:color w:val="000000"/>
          <w:sz w:val="20"/>
        </w:rPr>
        <w:t xml:space="preserve">Operating Activities. </w:t>
      </w:r>
      <w:r>
        <w:rPr>
          <w:rFonts w:ascii="Arial Narrow;sans-serif" w:hAnsi="Arial Narrow;sans-serif"/>
          <w:b w:val="false"/>
          <w:color w:val="000000"/>
          <w:sz w:val="20"/>
        </w:rPr>
        <w:t>Net cash used in operating activities increased by $57.1 million compared to the comparable prior</w:t>
        <w:noBreakHyphen/>
        <w:t xml:space="preserve">year period. The changes in non-cash adjustments were primarily driven by: </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 xml:space="preserve">a $53.2 million non-cash loss related to the increase in the fair value of our Earnout Share conversion and Series A Warrant liabilities, partially offset by the fair value gain of the Government Grant Warrant liability; </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 $9.7 million increase in stock</w:t>
        <w:noBreakHyphen/>
        <w:t xml:space="preserve">based compensation; and </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a $4.2 million increase in depreciation and amortization, due primarily to acquisition-related property and intangible assets.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change in operating assets and liabilities were primarily driven by:</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an increase in accounts receivable and inventory, due primarily to the addition of Less Common Metals’ receivables and inventory balances following the acquisition of Less Common Metals on November 18, 2025;</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an increase in prepaid and other assets, due primarily to prepaid rent and advanced payments to suppliers for future inventory deliveries;</w:t>
      </w:r>
    </w:p>
    <w:p>
      <w:pPr>
        <w:pStyle w:val="TextBody"/>
        <w:bidi w:val="0"/>
        <w:spacing w:lineRule="auto" w:line="288" w:before="0" w:after="60"/>
        <w:ind w:left="0" w:right="0" w:hanging="360"/>
        <w:jc w:val="both"/>
        <w:rPr/>
      </w:pPr>
      <w:r>
        <w:rPr>
          <w:color w:val="000000"/>
        </w:rPr>
        <w:t>•</w:t>
      </w:r>
      <w:r>
        <w:rPr>
          <w:rFonts w:ascii="Arial Narrow;sans-serif" w:hAnsi="Arial Narrow;sans-serif"/>
          <w:b w:val="false"/>
          <w:color w:val="000000"/>
          <w:sz w:val="20"/>
        </w:rPr>
        <w:t>an increase in accounts payable, due primarily to capital expenditures associated with the build-out of the Stillwater Facility and our development of the Round Top Project, and the timing of vendor payments; and</w:t>
      </w:r>
    </w:p>
    <w:p>
      <w:pPr>
        <w:pStyle w:val="TextBody"/>
        <w:bidi w:val="0"/>
        <w:spacing w:lineRule="auto" w:line="288" w:before="0" w:after="0"/>
        <w:ind w:left="0" w:right="0" w:hanging="360"/>
        <w:jc w:val="both"/>
        <w:rPr/>
      </w:pPr>
      <w:r>
        <w:rPr>
          <w:color w:val="000000"/>
        </w:rPr>
        <w:t>•</w:t>
      </w:r>
      <w:r>
        <w:rPr>
          <w:rFonts w:ascii="Arial Narrow;sans-serif" w:hAnsi="Arial Narrow;sans-serif"/>
          <w:b w:val="false"/>
          <w:color w:val="000000"/>
          <w:sz w:val="20"/>
        </w:rPr>
        <w:t>an increase in accrued expenses, due primarily to higher acquisition</w:t>
        <w:noBreakHyphen/>
        <w:t>related legal and consulting costs and asset retirement obligation costs associated with the Less Common Metals leased property in Cheshire, United Kingdom.</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Investing Activities.</w:t>
      </w:r>
      <w:r>
        <w:rPr>
          <w:color w:val="000000"/>
        </w:rPr>
        <w:t xml:space="preserve"> </w:t>
      </w:r>
      <w:r>
        <w:rPr>
          <w:rFonts w:ascii="Arial Narrow;sans-serif" w:hAnsi="Arial Narrow;sans-serif"/>
          <w:b w:val="false"/>
          <w:color w:val="000000"/>
          <w:sz w:val="20"/>
        </w:rPr>
        <w:t>Net cash used in investing activities increased by $102.1 million compared to the comparable prior-year period, due primarily to capital expenditures to build out our manufacturing process at our Stillwater Facility.</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i/>
          <w:color w:val="000000"/>
          <w:sz w:val="20"/>
        </w:rPr>
        <w:t>Financing Activities.</w:t>
      </w:r>
      <w:r>
        <w:rPr>
          <w:color w:val="000000"/>
        </w:rPr>
        <w:t xml:space="preserve"> </w:t>
      </w:r>
      <w:r>
        <w:rPr>
          <w:rFonts w:ascii="Arial Narrow;sans-serif" w:hAnsi="Arial Narrow;sans-serif"/>
          <w:b w:val="false"/>
          <w:color w:val="000000"/>
          <w:sz w:val="20"/>
        </w:rPr>
        <w:t>Net cash provided by financing activities increased by $1.29 billion compared to the comparable prior-year period, primarily due to proceeds from the $1.50 billion private investment in public equity financing, net of transaction costs, completed in January 2026, partially offset by the repayment of the Barclays Bank PLC trade cycle loan facility.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Other than as described in this Quarterly Report, we do not have any other off-balance sheet arrangements that have, or are reasonably likely to have, a material current or future effect on our financial condition, changes in financial condition, revenues, expenses, results of operations, liquidity, capital expenditures or capital resources. </w:t>
      </w:r>
      <w:hyperlink w:anchor="i5f43db688c2c433f9d412b16efe97020_533">
        <w:r>
          <w:rPr>
            <w:rStyle w:val="InternetLink"/>
            <w:rFonts w:ascii="Arial Narrow;sans-serif" w:hAnsi="Arial Narrow;sans-serif"/>
            <w:b w:val="false"/>
            <w:strike w:val="false"/>
            <w:dstrike w:val="false"/>
            <w:color w:val="000000"/>
            <w:sz w:val="20"/>
            <w:u w:val="none"/>
            <w:effect w:val="none"/>
          </w:rPr>
          <w:t>See Note</w:t>
        </w:r>
      </w:hyperlink>
      <w:r>
        <w:rPr>
          <w:rFonts w:ascii="Arial Narrow;sans-serif" w:hAnsi="Arial Narrow;sans-serif"/>
          <w:b w:val="false"/>
          <w:color w:val="000000"/>
          <w:sz w:val="20"/>
        </w:rPr>
        <w:t xml:space="preserve"> 5, “Commitments and Contingencies”, of the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Purchase Obligations and Other Commitments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In the normal course of business, we enter into purchase orders with vendors for manufacturing and research and development equipment and with suppliers for inventory used in the manufacture of our products. Capital equipment purchase orders are generally non-cancelable due to long lead times and generally relate to forecasted equipment needs for our Phase 1b and 2a manufacturing line expansions and facility construction, and research and development activities at RTMD. Inventory purchase orders are generally fulfilled within one year of the order date.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035050"/>
                <wp:effectExtent l="0" t="0" r="0" b="0"/>
                <wp:wrapNone/>
                <wp:docPr id="40" name="Frame39"/>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Our Condensed Consolidated Financial Statements are prepared in accordance with U.S. GAAP and require management to make estimates, assumptions, and judgments that affect the reported amounts of assets and liabilities and results of operations. Actual results could differ materially from these estimates.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Significant estimates include goodwill and other intangible assets arising from business combinations, asset and liability valuations, including earnout and warrant liabilities, deferred taxes and related valuation allowances, and other fair value measurements. </w:t>
      </w:r>
      <w:hyperlink r:id="rId3">
        <w:r>
          <w:rPr>
            <w:rStyle w:val="InternetLink"/>
            <w:rFonts w:ascii="Arial Narrow;sans-serif" w:hAnsi="Arial Narrow;sans-serif"/>
            <w:b w:val="false"/>
            <w:strike w:val="false"/>
            <w:dstrike w:val="false"/>
            <w:color w:val="000000"/>
            <w:sz w:val="20"/>
            <w:u w:val="none"/>
            <w:effect w:val="none"/>
          </w:rPr>
          <w:t>See Note</w:t>
        </w:r>
      </w:hyperlink>
      <w:r>
        <w:rPr>
          <w:rFonts w:ascii="Arial Narrow;sans-serif" w:hAnsi="Arial Narrow;sans-serif"/>
          <w:b w:val="false"/>
          <w:color w:val="000000"/>
          <w:sz w:val="20"/>
        </w:rPr>
        <w:t xml:space="preserve"> 1, “Organization – Significant Accounting Policies” in the Notes to the Consolidated Financial Statements included in our 2025 Annual Report for a description of our critical and other significant accounting policies.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For a discussion of certain recent accounting pronouncements, </w:t>
      </w:r>
      <w:hyperlink w:anchor="i5f43db688c2c433f9d412b16efe97020_549755814261">
        <w:r>
          <w:rPr>
            <w:rStyle w:val="InternetLink"/>
          </w:rPr>
          <w:t>see</w:t>
        </w:r>
      </w:hyperlink>
      <w:hyperlink w:anchor="i5f43db688c2c433f9d412b16efe97020_549755814261">
        <w:r>
          <w:rPr>
            <w:rStyle w:val="InternetLink"/>
          </w:rPr>
          <w:t xml:space="preserve"> Note </w:t>
        </w:r>
      </w:hyperlink>
      <w:r>
        <w:rPr>
          <w:rFonts w:ascii="Arial Narrow;sans-serif" w:hAnsi="Arial Narrow;sans-serif"/>
          <w:b w:val="false"/>
          <w:color w:val="000000"/>
          <w:sz w:val="20"/>
        </w:rPr>
        <w:t>1, “Organization – Significant Accounting Policies – Recently Issued Accounting Pronouncements Not Yet Adopted,” of the Notes.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Not required under Regulation S-K for “smaller reporting companies”.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We maintain disclosure controls and procedures as defined under Rules 13a-15(e) and 15d-15(e) of the Securities Exchange Act of 1934, as amended (the “Exchange Act”). Our disclosure controls and procedures have been designed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provide reasonable assurance that information required to be disclosed in reports filed or submitted under the Exchange Act is accumulated and communicated to our management, including our Chief Executive Officer (“CEO”) and Chief Financial Officer (“CFO”),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our CEO and CFO, evaluated the effectiveness of our disclosure controls and procedures as defined in Exchange Act Rules 13a-15(e) and 15d-15(e) as of June 30, 2026. Based on that evaluation, our CEO and CFO concluded that as of such date, our disclosure controls and procedures were effective to provide reasonable assurance that the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management as appropriate to allow for timely decisions regarding required disclosure.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There were no changes in our internal control over financial reporting (as defined in Rules 13a-15(f) and 15d-15(f) under the Exchange Act) that occurred during the second quarter ended June 30, 2026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effectiveness of any system of controls and procedures is subject to certain limitations, and, as a result, there can be no assurance our controls and procedures will detect all errors or fraud. A control system, no matter how well conceived and operated, can provide only reasonable, not absolute, assurance that objectives of the control system will be attained.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035050"/>
                <wp:effectExtent l="0" t="0" r="0" b="0"/>
                <wp:wrapNone/>
                <wp:docPr id="41" name="Frame40"/>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information required with respect to this item can be found in Note 5, “Commitments and Contingencies–Litigation” of the Notes and is incorporated by reference into this Item 1.</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1A. RISK FACTORS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Factors that could cause the Company’s actual results to differ materially from those in this report include the risk factors described in the Company’s 2025</w:t>
      </w:r>
      <w:hyperlink r:id="rId4">
        <w:r>
          <w:rPr>
            <w:rStyle w:val="InternetLink"/>
            <w:rFonts w:ascii="Arial Narrow;sans-serif" w:hAnsi="Arial Narrow;sans-serif"/>
            <w:b w:val="false"/>
            <w:strike w:val="false"/>
            <w:dstrike w:val="false"/>
            <w:color w:val="000000"/>
            <w:sz w:val="20"/>
            <w:u w:val="none"/>
            <w:effect w:val="none"/>
          </w:rPr>
          <w:t> Annual Report on Form 10-K</w:t>
        </w:r>
      </w:hyperlink>
      <w:r>
        <w:rPr>
          <w:rFonts w:ascii="Arial Narrow;sans-serif" w:hAnsi="Arial Narrow;sans-serif"/>
          <w:b w:val="false"/>
          <w:color w:val="000000"/>
          <w:sz w:val="20"/>
        </w:rPr>
        <w:t xml:space="preserve">, filed with the Securities and Exchange Commission (“SEC”) on March 30, 2026. </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As of the date of this Quarterly Report on Form 10-Q, other than as set out in </w:t>
      </w:r>
      <w:hyperlink r:id="rId5">
        <w:r>
          <w:rPr>
            <w:rStyle w:val="InternetLink"/>
          </w:rPr>
          <w:t>Exhibit 99.1 to the Company’s Current Report on Form</w:t>
        </w:r>
      </w:hyperlink>
      <w:hyperlink r:id="rId6">
        <w:r>
          <w:rPr>
            <w:rStyle w:val="InternetLink"/>
          </w:rPr>
          <w:t> </w:t>
        </w:r>
      </w:hyperlink>
      <w:hyperlink r:id="rId7">
        <w:r>
          <w:rPr>
            <w:rStyle w:val="InternetLink"/>
          </w:rPr>
          <w:t>8-K, filed with the SEC on May</w:t>
        </w:r>
      </w:hyperlink>
      <w:hyperlink r:id="rId8">
        <w:r>
          <w:rPr>
            <w:rStyle w:val="InternetLink"/>
          </w:rPr>
          <w:t> </w:t>
        </w:r>
      </w:hyperlink>
      <w:hyperlink r:id="rId9">
        <w:r>
          <w:rPr>
            <w:rStyle w:val="InternetLink"/>
          </w:rPr>
          <w:t>1</w:t>
        </w:r>
      </w:hyperlink>
      <w:hyperlink r:id="rId10">
        <w:r>
          <w:rPr>
            <w:rStyle w:val="InternetLink"/>
          </w:rPr>
          <w:t>3</w:t>
        </w:r>
      </w:hyperlink>
      <w:hyperlink r:id="rId11">
        <w:r>
          <w:rPr>
            <w:rStyle w:val="InternetLink"/>
          </w:rPr>
          <w:t>, 2026</w:t>
        </w:r>
      </w:hyperlink>
      <w:r>
        <w:rPr>
          <w:rFonts w:ascii="Arial Narrow;sans-serif" w:hAnsi="Arial Narrow;sans-serif"/>
          <w:b w:val="false"/>
          <w:color w:val="000000"/>
          <w:sz w:val="20"/>
        </w:rPr>
        <w:t>, in Item 8. 01 of the Company’s Current Report on Form 8-K, filed with the SEC on June 3, 2026, and in Exhibit 99.2 to the Company’s Current Report on Form 8-K, filed with the SEC on July 16, 2026 (which are incorporated by reference herein), there have been no material changes to the risk factors disclosed in the Company’s 2025</w:t>
      </w:r>
      <w:hyperlink r:id="rId12">
        <w:r>
          <w:rPr>
            <w:rStyle w:val="InternetLink"/>
          </w:rPr>
          <w:t> Annual Report o</w:t>
        </w:r>
      </w:hyperlink>
      <w:hyperlink r:id="rId13">
        <w:r>
          <w:rPr>
            <w:rStyle w:val="InternetLink"/>
          </w:rPr>
          <w:t>n Form 10-K</w:t>
        </w:r>
      </w:hyperlink>
      <w:r>
        <w:rPr>
          <w:rFonts w:ascii="Arial Narrow;sans-serif" w:hAnsi="Arial Narrow;sans-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 xml:space="preserve">Information required by this Item 2 has been previously reported on the Company’s Current Report on </w:t>
      </w:r>
      <w:hyperlink r:id="rId14">
        <w:r>
          <w:rPr>
            <w:rStyle w:val="InternetLink"/>
          </w:rPr>
          <w:t xml:space="preserve">Form 8-K filed </w:t>
        </w:r>
      </w:hyperlink>
      <w:hyperlink r:id="rId15">
        <w:r>
          <w:rPr>
            <w:rStyle w:val="InternetLink"/>
          </w:rPr>
          <w:t>with the SEC</w:t>
        </w:r>
      </w:hyperlink>
      <w:hyperlink r:id="rId16">
        <w:r>
          <w:rPr>
            <w:rStyle w:val="InternetLink"/>
          </w:rPr>
          <w:t xml:space="preserve"> </w:t>
        </w:r>
      </w:hyperlink>
      <w:hyperlink r:id="rId17">
        <w:r>
          <w:rPr>
            <w:rStyle w:val="InternetLink"/>
          </w:rPr>
          <w:t xml:space="preserve">on </w:t>
        </w:r>
      </w:hyperlink>
      <w:hyperlink r:id="rId18">
        <w:r>
          <w:rPr>
            <w:rStyle w:val="InternetLink"/>
          </w:rPr>
          <w:t>January 29, 2026</w:t>
        </w:r>
      </w:hyperlink>
      <w:r>
        <w:rPr>
          <w:rFonts w:ascii="Arial Narrow;sans-serif" w:hAnsi="Arial Narrow;sans-serif"/>
          <w:b w:val="false"/>
          <w:color w:val="000000"/>
          <w:sz w:val="20"/>
        </w:rPr>
        <w:t>, April 20, 2026, June 3, 2026 and July 23, 2026.</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None.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4. MINE SAFETY DISCLOSURES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Dodd-Frank Wall Street Reform and Consumer Protection Act (the “Act”) and Item 104 of Regulation S-K require certain mine safety disclosures to be made by companies that operate mines regulated under the Federal Mine Safety and Health Act of 1977. However, the requirements of the Act and Item 104 of Regulation S-K do not apply as we do not engage in mining activities in the U.S. Therefore, we are not required to make such disclosures.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5.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i/>
          <w:color w:val="000000"/>
          <w:sz w:val="20"/>
        </w:rPr>
      </w:pPr>
      <w:r>
        <w:rPr>
          <w:rFonts w:ascii="Arial Narrow;sans-serif" w:hAnsi="Arial Narrow;sans-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During the quarter ended June 30, 2026, none of our directors or officers (as defined in Rule 16a-1(f) of the Exchange Act) adopted or terminated a Rule 10b5-1 trading arrangement or non-Rule 10b5-1 trading arrangement (as such terms are defined in Item 408 of Regulation S-K).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035050"/>
                <wp:effectExtent l="0" t="0" r="0" b="0"/>
                <wp:wrapNone/>
                <wp:docPr id="42" name="Frame41"/>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ITEM 6. 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 Narrow;sans-serif" w:hAnsi="Arial Narrow;sans-serif"/>
          <w:b/>
          <w:color w:val="000000"/>
          <w:sz w:val="22"/>
        </w:rPr>
      </w:pPr>
      <w:r>
        <w:rPr>
          <w:rFonts w:ascii="Arial Narrow;sans-serif" w:hAnsi="Arial Narrow;sans-serif"/>
          <w:b/>
          <w:color w:val="000000"/>
          <w:sz w:val="22"/>
        </w:rPr>
        <w:t>Exhibit Index</w:t>
      </w:r>
    </w:p>
    <w:tbl>
      <w:tblPr>
        <w:tblW w:w="10205" w:type="dxa"/>
        <w:jc w:val="left"/>
        <w:tblInd w:w="0" w:type="dxa"/>
        <w:tblLayout w:type="fixed"/>
        <w:tblCellMar>
          <w:top w:w="28" w:type="dxa"/>
          <w:left w:w="28" w:type="dxa"/>
          <w:bottom w:w="28" w:type="dxa"/>
          <w:right w:w="28" w:type="dxa"/>
        </w:tblCellMar>
      </w:tblPr>
      <w:tblGrid>
        <w:gridCol w:w="124"/>
        <w:gridCol w:w="274"/>
        <w:gridCol w:w="274"/>
        <w:gridCol w:w="276"/>
        <w:gridCol w:w="109"/>
        <w:gridCol w:w="109"/>
        <w:gridCol w:w="109"/>
        <w:gridCol w:w="1661"/>
        <w:gridCol w:w="1541"/>
        <w:gridCol w:w="1534"/>
        <w:gridCol w:w="155"/>
        <w:gridCol w:w="155"/>
        <w:gridCol w:w="156"/>
        <w:gridCol w:w="109"/>
        <w:gridCol w:w="109"/>
        <w:gridCol w:w="109"/>
        <w:gridCol w:w="152"/>
        <w:gridCol w:w="152"/>
        <w:gridCol w:w="153"/>
        <w:gridCol w:w="190"/>
        <w:gridCol w:w="190"/>
        <w:gridCol w:w="191"/>
        <w:gridCol w:w="195"/>
        <w:gridCol w:w="195"/>
        <w:gridCol w:w="196"/>
        <w:gridCol w:w="125"/>
        <w:gridCol w:w="125"/>
        <w:gridCol w:w="126"/>
        <w:gridCol w:w="209"/>
        <w:gridCol w:w="209"/>
        <w:gridCol w:w="210"/>
        <w:gridCol w:w="170"/>
        <w:gridCol w:w="170"/>
        <w:gridCol w:w="172"/>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Exhibit Description</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Form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File No.</w:t>
            </w:r>
          </w:p>
        </w:tc>
        <w:tc>
          <w:tcPr>
            <w:tcW w:w="5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w:t>
            </w:r>
          </w:p>
        </w:tc>
        <w:tc>
          <w:tcPr>
            <w:tcW w:w="3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Filing Date</w:t>
            </w:r>
          </w:p>
        </w:tc>
        <w:tc>
          <w:tcPr>
            <w:tcW w:w="512" w:type="dxa"/>
            <w:gridSpan w:val="3"/>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Arial Narrow;sans-serif" w:hAnsi="Arial Narrow;sans-serif"/>
                  <w:b w:val="false"/>
                  <w:color w:val="000000"/>
                  <w:sz w:val="18"/>
                </w:rPr>
                <w:t>2.1</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 Narrow;sans-serif" w:hAnsi="Arial Narrow;sans-serif"/>
                  <w:b w:val="false"/>
                  <w:color w:val="000000"/>
                  <w:sz w:val="18"/>
                </w:rPr>
                <w:t>Amendment No. 1, dated July 16, 2026, to the Merger Agreement by and among USAR, SVRE, Merger Sub and the Shareholder Representative.</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c>
          <w:tcPr>
            <w:tcW w:w="62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7/16/2026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Arial Narrow;sans-serif" w:hAnsi="Arial Narrow;sans-serif"/>
                  <w:b w:val="false"/>
                  <w:color w:val="000000"/>
                  <w:sz w:val="18"/>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 Narrow;sans-serif" w:hAnsi="Arial Narrow;sans-serif"/>
                  <w:b w:val="false"/>
                  <w:color w:val="000000"/>
                  <w:sz w:val="18"/>
                </w:rPr>
                <w:t>Lease Agreement, dated June 1, 2026, between TC Liberty Development, LLC and USA Rare Earth, Inc.</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6/2/2026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Arial Narrow;sans-serif" w:hAnsi="Arial Narrow;sans-serif"/>
                  <w:b w:val="false"/>
                  <w:color w:val="000000"/>
                  <w:sz w:val="18"/>
                </w:rPr>
                <w:t>10.2</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 Narrow;sans-serif" w:hAnsi="Arial Narrow;sans-serif"/>
                  <w:b w:val="false"/>
                  <w:color w:val="000000"/>
                  <w:sz w:val="18"/>
                </w:rPr>
                <w:t>Fee-in-Lieu of Ad Valorem Taxes and Incentives Agreement, dated June 1, 2026, by and between Cherokee County, South Carolina and USA Rare Earth, Inc.</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10.2</w:t>
            </w:r>
          </w:p>
        </w:tc>
        <w:tc>
          <w:tcPr>
            <w:tcW w:w="62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6/2/2026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Arial Narrow;sans-serif" w:hAnsi="Arial Narrow;sans-serif"/>
                  <w:b w:val="false"/>
                  <w:color w:val="000000"/>
                  <w:sz w:val="18"/>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 Narrow;sans-serif" w:hAnsi="Arial Narrow;sans-serif"/>
                  <w:b w:val="false"/>
                  <w:color w:val="000080"/>
                  <w:sz w:val="18"/>
                </w:rPr>
                <w:t>Direct Funding Agreement, dated June 3, 2026, by and among USA Rare Earth, Inc., the subsidiary guarantors party thereto and the United States Department of Commerce</w:t>
              </w:r>
            </w:hyperlink>
            <w:r>
              <w:rPr>
                <w:rFonts w:ascii="Arial Narrow;sans-serif" w:hAnsi="Arial Narrow;sans-serif"/>
                <w:b w:val="false"/>
                <w:color w:val="000000"/>
                <w:sz w:val="18"/>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6/3/2026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Arial Narrow;sans-serif" w:hAnsi="Arial Narrow;sans-serif"/>
                  <w:b w:val="false"/>
                  <w:color w:val="000000"/>
                  <w:sz w:val="18"/>
                </w:rPr>
                <w:t>10.4</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 Narrow;sans-serif" w:hAnsi="Arial Narrow;sans-serif"/>
                  <w:b w:val="false"/>
                  <w:color w:val="000080"/>
                  <w:sz w:val="18"/>
                </w:rPr>
                <w:t>Loan Guarantee Agreement, dated June 3, 2026, by and among USA Rare Earth, Inc., the subsidiary guarantors party thereto and the United States Department of Commerce</w:t>
              </w:r>
            </w:hyperlink>
            <w:r>
              <w:rPr>
                <w:rFonts w:ascii="Arial Narrow;sans-serif" w:hAnsi="Arial Narrow;sans-serif"/>
                <w:b w:val="false"/>
                <w:color w:val="000000"/>
                <w:sz w:val="18"/>
              </w:rPr>
              <w:t>.</w:t>
            </w:r>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10.2</w:t>
            </w:r>
          </w:p>
        </w:tc>
        <w:tc>
          <w:tcPr>
            <w:tcW w:w="62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6/3/2026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Arial Narrow;sans-serif" w:hAnsi="Arial Narrow;sans-serif"/>
                  <w:b w:val="false"/>
                  <w:color w:val="000000"/>
                  <w:sz w:val="18"/>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 Narrow;sans-serif" w:hAnsi="Arial Narrow;sans-serif"/>
                  <w:b w:val="false"/>
                  <w:color w:val="000080"/>
                  <w:sz w:val="18"/>
                </w:rPr>
                <w:t>Securities Issuance Agreement, dated June 3, 2026 by and between USA Rare Earth, Inc. and the United States Department of Commerce</w:t>
              </w:r>
            </w:hyperlink>
            <w:r>
              <w:rPr>
                <w:rFonts w:ascii="Arial Narrow;sans-serif" w:hAnsi="Arial Narrow;sans-serif"/>
                <w:b w:val="false"/>
                <w:color w:val="000000"/>
                <w:sz w:val="18"/>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w:t>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6/3/2026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Arial Narrow;sans-serif" w:hAnsi="Arial Narrow;sans-serif"/>
                  <w:b w:val="false"/>
                  <w:color w:val="000000"/>
                  <w:sz w:val="18"/>
                </w:rPr>
                <w:t>10.6</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 Narrow;sans-serif" w:hAnsi="Arial Narrow;sans-serif"/>
                  <w:b w:val="false"/>
                  <w:color w:val="000080"/>
                  <w:sz w:val="18"/>
                </w:rPr>
                <w:t>Warrant, dated June 3, 2026 issued by USA Rare Earth, Inc. to the United States Department of Commerce</w:t>
              </w:r>
            </w:hyperlink>
            <w:r>
              <w:rPr>
                <w:rFonts w:ascii="Arial Narrow;sans-serif" w:hAnsi="Arial Narrow;sans-serif"/>
                <w:b w:val="false"/>
                <w:color w:val="000000"/>
                <w:sz w:val="18"/>
              </w:rPr>
              <w:t>.</w:t>
            </w:r>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62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6/3/2026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Arial Narrow;sans-serif" w:hAnsi="Arial Narrow;sans-serif"/>
                  <w:b w:val="false"/>
                  <w:color w:val="000000"/>
                  <w:sz w:val="18"/>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 Narrow;sans-serif" w:hAnsi="Arial Narrow;sans-serif"/>
                  <w:b w:val="false"/>
                  <w:color w:val="000080"/>
                  <w:sz w:val="18"/>
                </w:rPr>
                <w:t>Retirement Agreement dated July 19, 2026 by and between USA Rare Earth, Inc. and Barbara Humpton</w:t>
              </w:r>
            </w:hyperlink>
            <w:r>
              <w:rPr>
                <w:rFonts w:ascii="Arial Narrow;sans-serif" w:hAnsi="Arial Narrow;sans-serif"/>
                <w:b w:val="false"/>
                <w:color w:val="000000"/>
                <w:sz w:val="18"/>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7/20/2026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Arial Narrow;sans-serif" w:hAnsi="Arial Narrow;sans-serif"/>
                  <w:b w:val="false"/>
                  <w:color w:val="000000"/>
                  <w:sz w:val="18"/>
                </w:rPr>
                <w:t>10.8</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 Narrow;sans-serif" w:hAnsi="Arial Narrow;sans-serif"/>
                  <w:b w:val="false"/>
                  <w:color w:val="000080"/>
                  <w:sz w:val="18"/>
                </w:rPr>
                <w:t>Executive Chair Agreement dated July 19, 2026 by and between USA Rare Earth, Inc. and Michael Blitzer</w:t>
              </w:r>
            </w:hyperlink>
            <w:r>
              <w:rPr>
                <w:rFonts w:ascii="Arial Narrow;sans-serif" w:hAnsi="Arial Narrow;sans-serif"/>
                <w:b w:val="false"/>
                <w:color w:val="000000"/>
                <w:sz w:val="18"/>
              </w:rPr>
              <w:t>.</w:t>
            </w:r>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10.2</w:t>
            </w:r>
          </w:p>
        </w:tc>
        <w:tc>
          <w:tcPr>
            <w:tcW w:w="62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7/20/2026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Arial Narrow;sans-serif" w:hAnsi="Arial Narrow;sans-serif"/>
                  <w:b w:val="false"/>
                  <w:color w:val="000000"/>
                  <w:sz w:val="18"/>
                </w:rPr>
                <w:t>10.9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 Narrow;sans-serif" w:hAnsi="Arial Narrow;sans-serif"/>
                  <w:b w:val="false"/>
                  <w:color w:val="000080"/>
                  <w:sz w:val="18"/>
                </w:rPr>
                <w:t>Amended and Restated Lockup Agreement dated June 3, 2026</w:t>
              </w:r>
            </w:hyperlink>
            <w:r>
              <w:rPr>
                <w:rFonts w:ascii="Arial Narrow;sans-serif" w:hAnsi="Arial Narrow;sans-serif"/>
                <w:b w:val="false"/>
                <w:color w:val="000000"/>
                <w:sz w:val="18"/>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001-41711</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w:t>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7/20/2026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ex1010kronenfelddseparation.htm">
              <w:r>
                <w:rPr>
                  <w:rStyle w:val="InternetLink"/>
                  <w:rFonts w:ascii="Arial Narrow;sans-serif" w:hAnsi="Arial Narrow;sans-serif"/>
                  <w:b w:val="false"/>
                  <w:color w:val="000080"/>
                  <w:sz w:val="18"/>
                </w:rPr>
                <w:t>10.10</w:t>
              </w:r>
            </w:hyperlink>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hyperlink w:anchor="ex1010kronenfelddseparation.htm">
              <w:r>
                <w:rPr>
                  <w:rStyle w:val="InternetLink"/>
                  <w:rFonts w:ascii="Arial Narrow;sans-serif" w:hAnsi="Arial Narrow;sans-serif"/>
                  <w:b w:val="false"/>
                  <w:color w:val="000000"/>
                  <w:sz w:val="18"/>
                </w:rPr>
                <w:t>Transition and Separation Agreement dated June 16, 2026 by and between USA Rare Earth, Inc. and David Kronenfeld.</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311-302ceocertificationq.htm">
              <w:r>
                <w:rPr>
                  <w:rStyle w:val="InternetLink"/>
                  <w:rFonts w:ascii="Arial Narrow;sans-serif" w:hAnsi="Arial Narrow;sans-serif"/>
                  <w:b w:val="false"/>
                  <w:color w:val="000080"/>
                  <w:sz w:val="18"/>
                </w:rPr>
                <w:t>31.1</w:t>
              </w:r>
            </w:hyperlink>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302ceocertificationq.htm">
              <w:r>
                <w:rPr>
                  <w:rStyle w:val="InternetLink"/>
                  <w:rFonts w:ascii="Arial Narrow;sans-serif" w:hAnsi="Arial Narrow;sans-serif"/>
                  <w:b w:val="false"/>
                  <w:color w:val="000000"/>
                  <w:sz w:val="18"/>
                </w:rPr>
                <w:t>Certification of Principal Executive Officer Pursuant to Securities Exchange Act Rules 13a-14(a), as adopted Pursuant to Section 302 of the Sarbanes-Oxley Act of 2002.</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center"/>
              <w:rPr/>
            </w:pPr>
            <w:hyperlink w:anchor="ex312-302cfocertificationq.htm">
              <w:r>
                <w:rPr>
                  <w:rStyle w:val="InternetLink"/>
                  <w:rFonts w:ascii="Arial Narrow;sans-serif" w:hAnsi="Arial Narrow;sans-serif"/>
                  <w:b w:val="false"/>
                  <w:color w:val="000080"/>
                  <w:sz w:val="18"/>
                </w:rPr>
                <w:t>31.2</w:t>
              </w:r>
            </w:hyperlink>
            <w:r>
              <w:rPr>
                <w:rFonts w:ascii="Arial Narrow;sans-serif" w:hAnsi="Arial Narrow;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w:anchor="ex312-302cfocertificationq.htm">
              <w:r>
                <w:rPr>
                  <w:rStyle w:val="InternetLink"/>
                  <w:rFonts w:ascii="Arial Narrow;sans-serif" w:hAnsi="Arial Narrow;sans-serif"/>
                  <w:b w:val="false"/>
                  <w:color w:val="000080"/>
                  <w:sz w:val="18"/>
                </w:rPr>
                <w:t>Certification of Principal Financial Officer Pursuant to Securities Exchange Act Rules 13a-14(a), as adopted Pursuant to Section 302 of the Sarbanes-Oxley Act of 2002</w:t>
              </w:r>
            </w:hyperlink>
            <w:hyperlink w:anchor="ex312-302cfocertificationq.htm">
              <w:r>
                <w:rPr>
                  <w:rStyle w:val="InternetLink"/>
                  <w:rFonts w:ascii="Arial Narrow;sans-serif" w:hAnsi="Arial Narrow;sans-serif"/>
                  <w:b w:val="false"/>
                  <w:color w:val="000080"/>
                  <w:sz w:val="18"/>
                </w:rPr>
                <w:t>.</w:t>
              </w:r>
            </w:hyperlink>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321-906ceoandcfocertific.htm">
              <w:r>
                <w:rPr>
                  <w:rStyle w:val="InternetLink"/>
                  <w:rFonts w:ascii="Arial Narrow;sans-serif" w:hAnsi="Arial Narrow;sans-serif"/>
                  <w:b w:val="false"/>
                  <w:color w:val="000080"/>
                  <w:sz w:val="18"/>
                </w:rPr>
                <w:t>32.1</w:t>
              </w:r>
            </w:hyperlink>
            <w:hyperlink w:anchor="ex321-906ceoandcfocertific.htm">
              <w:r>
                <w:rPr>
                  <w:rStyle w:val="InternetLink"/>
                  <w:rFonts w:ascii="Arial Narrow;sans-serif" w:hAnsi="Arial Narrow;sans-serif"/>
                  <w:b w:val="false"/>
                  <w:color w:val="000080"/>
                  <w:sz w:val="18"/>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1-906ceoandcfocertific.htm">
              <w:r>
                <w:rPr>
                  <w:rStyle w:val="InternetLink"/>
                  <w:rFonts w:ascii="Arial Narrow;sans-serif" w:hAnsi="Arial Narrow;sans-serif"/>
                  <w:b w:val="false"/>
                  <w:color w:val="000000"/>
                  <w:sz w:val="18"/>
                </w:rPr>
                <w:t>Certification of Principal Executive Officer and Principal Financial Officer Pursuant to 18 U.S.C. Section 1350, as adopted pursuant to Section 906 of the Sarbanes-Oxley Act of 2002.</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Arial Narrow;sans-serif" w:hAnsi="Arial Narrow;sans-serif"/>
                <w:b w:val="false"/>
                <w:color w:val="000000"/>
                <w:sz w:val="18"/>
              </w:rPr>
            </w:pPr>
            <w:r>
              <w:rPr>
                <w:rFonts w:ascii="Arial Narrow;sans-serif" w:hAnsi="Arial Narrow;sans-serif"/>
                <w:b w:val="false"/>
                <w:color w:val="000000"/>
                <w:sz w:val="18"/>
              </w:rPr>
              <w:t>Inline XBRL Document Set for the consolidated financial statements and accompanying notes in Part I, “Financial Information” of this Quarterly Report on Form 10-Q.</w:t>
            </w:r>
          </w:p>
        </w:tc>
        <w:tc>
          <w:tcPr>
            <w:tcW w:w="46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 Narrow;sans-serif" w:hAnsi="Arial Narrow;sans-serif"/>
                <w:b w:val="false"/>
                <w:color w:val="000000"/>
                <w:sz w:val="18"/>
              </w:rPr>
            </w:pPr>
            <w:r>
              <w:rPr>
                <w:rFonts w:ascii="Arial Narrow;sans-serif" w:hAnsi="Arial Narrow;sans-serif"/>
                <w:b w:val="false"/>
                <w:color w:val="000000"/>
                <w:sz w:val="18"/>
              </w:rPr>
              <w:t>Inline XBRL for the cover page of this Quarterly Report on Form 10-Q, included in the Exhibit 101 Inline XBRL Document Set.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 Narrow;sans-serif" w:hAnsi="Arial Narrow;sans-serif"/>
          <w:b w:val="false"/>
          <w:color w:val="000000"/>
          <w:sz w:val="12"/>
        </w:rPr>
        <w:t>*    </w:t>
      </w:r>
      <w:r>
        <w:rPr>
          <w:rFonts w:ascii="Arial Narrow;sans-serif" w:hAnsi="Arial Narrow;sans-serif"/>
          <w:b w:val="false"/>
          <w:color w:val="000000"/>
          <w:sz w:val="18"/>
        </w:rPr>
        <w:t>Filed herewith.</w:t>
      </w:r>
    </w:p>
    <w:p>
      <w:pPr>
        <w:pStyle w:val="TextBody"/>
        <w:bidi w:val="0"/>
        <w:spacing w:lineRule="auto" w:line="288" w:before="0" w:after="60"/>
        <w:ind w:left="0" w:right="0" w:hanging="360"/>
        <w:jc w:val="both"/>
        <w:rPr>
          <w:rFonts w:ascii="Arial Narrow;sans-serif" w:hAnsi="Arial Narrow;sans-serif"/>
          <w:b w:val="false"/>
          <w:color w:val="000000"/>
          <w:sz w:val="18"/>
        </w:rPr>
      </w:pPr>
      <w:r>
        <w:rPr>
          <w:rFonts w:ascii="Arial Narrow;sans-serif" w:hAnsi="Arial Narrow;sans-serif"/>
          <w:b w:val="false"/>
          <w:color w:val="000000"/>
          <w:sz w:val="18"/>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035050"/>
                <wp:effectExtent l="0" t="0" r="0" b="0"/>
                <wp:wrapNone/>
                <wp:docPr id="43" name="Frame42"/>
                <a:graphic xmlns:a="http://schemas.openxmlformats.org/drawingml/2006/main">
                  <a:graphicData uri="http://schemas.microsoft.com/office/word/2010/wordprocessingShape">
                    <wps:wsp>
                      <wps:cNvSpPr txBox="1"/>
                      <wps:spPr>
                        <a:xfrm>
                          <a:off x="0" y="0"/>
                          <a:ext cx="6480175" cy="1035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0000"/>
                          <w:sz w:val="20"/>
                        </w:rPr>
                        <w:t>USA Rare Earth, Inc. | Q2'2026 Quarterly Report (Form 10-Q)</w:t>
                      </w:r>
                      <w:r>
                        <w:rPr>
                          <w:color w:val="000000"/>
                        </w:rPr>
                        <w:t xml:space="preserve"> </w:t>
                      </w:r>
                      <w:r>
                        <w:rPr>
                          <w:rFonts w:ascii="Arial Narrow;sans-serif" w:hAnsi="Arial Narrow;sans-serif"/>
                          <w:b w:val="false"/>
                          <w:color w:val="000000"/>
                          <w:sz w:val="20"/>
                        </w:rPr>
                        <w:t xml:space="preserve">| </w:t>
                      </w:r>
                      <w:r>
                        <w:rPr>
                          <w:rFonts w:ascii="Arial Narrow;sans-serif" w:hAnsi="Arial Narrow;sans-serif"/>
                          <w:b/>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hyperlink w:anchor="i5f43db688c2c433f9d412b16efe97020_79">
        <w:r>
          <w:rPr>
            <w:rStyle w:val="InternetLink"/>
            <w:rFonts w:ascii="Arial Narrow;sans-serif" w:hAnsi="Arial Narrow;sans-serif"/>
            <w:b w:val="false"/>
            <w:i/>
            <w:strike w:val="false"/>
            <w:dstrike w:val="false"/>
            <w:color w:val="0A2299"/>
            <w:sz w:val="20"/>
            <w:u w:val="none"/>
            <w:effect w:val="none"/>
          </w:rPr>
          <w:t>Table of Contents</w:t>
        </w:r>
      </w:hyperlink>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SIGNATURES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5909" w:type="dxa"/>
        <w:jc w:val="left"/>
        <w:tblInd w:w="0" w:type="dxa"/>
        <w:tblLayout w:type="fixed"/>
        <w:tblCellMar>
          <w:top w:w="28" w:type="dxa"/>
          <w:left w:w="28" w:type="dxa"/>
          <w:bottom w:w="28" w:type="dxa"/>
          <w:right w:w="28" w:type="dxa"/>
        </w:tblCellMar>
      </w:tblPr>
      <w:tblGrid>
        <w:gridCol w:w="168"/>
        <w:gridCol w:w="148"/>
        <w:gridCol w:w="149"/>
        <w:gridCol w:w="379"/>
        <w:gridCol w:w="379"/>
        <w:gridCol w:w="381"/>
        <w:gridCol w:w="109"/>
        <w:gridCol w:w="109"/>
        <w:gridCol w:w="109"/>
        <w:gridCol w:w="257"/>
        <w:gridCol w:w="257"/>
        <w:gridCol w:w="257"/>
        <w:gridCol w:w="944"/>
        <w:gridCol w:w="944"/>
        <w:gridCol w:w="947"/>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USA Rare Earth,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 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 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02765"/>
                <wp:effectExtent l="0" t="0" r="0" b="0"/>
                <wp:wrapNone/>
                <wp:docPr id="44" name="Frame43"/>
                <a:graphic xmlns:a="http://schemas.openxmlformats.org/drawingml/2006/main">
                  <a:graphicData uri="http://schemas.microsoft.com/office/word/2010/wordprocessingShape">
                    <wps:wsp>
                      <wps:cNvSpPr txBox="1"/>
                      <wps:spPr>
                        <a:xfrm>
                          <a:off x="0" y="0"/>
                          <a:ext cx="6480175" cy="180276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728" w:type="dxa"/>
                              <w:jc w:val="center"/>
                              <w:tblInd w:w="0" w:type="dxa"/>
                              <w:tblLayout w:type="fixed"/>
                              <w:tblCellMar>
                                <w:top w:w="28" w:type="dxa"/>
                                <w:left w:w="28" w:type="dxa"/>
                                <w:bottom w:w="28" w:type="dxa"/>
                                <w:right w:w="28" w:type="dxa"/>
                              </w:tblCellMar>
                            </w:tblPr>
                            <w:tblGrid>
                              <w:gridCol w:w="124"/>
                              <w:gridCol w:w="109"/>
                              <w:gridCol w:w="109"/>
                              <w:gridCol w:w="109"/>
                              <w:gridCol w:w="1633"/>
                              <w:gridCol w:w="1633"/>
                              <w:gridCol w:w="163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color w:val="000000"/>
                                      <w:sz w:val="20"/>
                                    </w:rPr>
                                  </w:pPr>
                                  <w:r>
                                    <w:rPr>
                                      <w:rFonts w:ascii="Arial Narrow;sans-serif" w:hAnsi="Arial Narrow;sans-serif"/>
                                      <w:b/>
                                      <w:color w:val="000000"/>
                                      <w:sz w:val="20"/>
                                    </w:rPr>
                                    <w:t xml:space="preserve">USA Rare Earth, Inc. | Q2'2026 Quarterly Report (Form 10-Q) |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1.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728" w:type="dxa"/>
                        <w:jc w:val="center"/>
                        <w:tblInd w:w="0" w:type="dxa"/>
                        <w:tblLayout w:type="fixed"/>
                        <w:tblCellMar>
                          <w:top w:w="28" w:type="dxa"/>
                          <w:left w:w="28" w:type="dxa"/>
                          <w:bottom w:w="28" w:type="dxa"/>
                          <w:right w:w="28" w:type="dxa"/>
                        </w:tblCellMar>
                      </w:tblPr>
                      <w:tblGrid>
                        <w:gridCol w:w="124"/>
                        <w:gridCol w:w="109"/>
                        <w:gridCol w:w="109"/>
                        <w:gridCol w:w="109"/>
                        <w:gridCol w:w="1633"/>
                        <w:gridCol w:w="1633"/>
                        <w:gridCol w:w="163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7"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color w:val="000000"/>
                                <w:sz w:val="20"/>
                              </w:rPr>
                            </w:pPr>
                            <w:r>
                              <w:rPr>
                                <w:rFonts w:ascii="Arial Narrow;sans-serif" w:hAnsi="Arial Narrow;sans-serif"/>
                                <w:b/>
                                <w:color w:val="000000"/>
                                <w:sz w:val="20"/>
                              </w:rPr>
                              <w:t xml:space="preserve">USA Rare Earth, Inc. | Q2'2026 Quarterly Report (Form 10-Q) |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10.10</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USA RARE EARTH,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TRANSITION AND SEPARATION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sans-serif" w:hAnsi="sans-serif"/>
          <w:b w:val="false"/>
          <w:color w:val="000000"/>
          <w:sz w:val="24"/>
        </w:rPr>
        <w:t>This Transition and Separation Agreement (this “</w:t>
      </w:r>
      <w:r>
        <w:rPr>
          <w:rFonts w:ascii="sans-serif" w:hAnsi="sans-serif"/>
          <w:b w:val="false"/>
          <w:color w:val="000000"/>
          <w:sz w:val="24"/>
          <w:u w:val="single"/>
        </w:rPr>
        <w:t>Separation Agreement</w:t>
      </w:r>
      <w:r>
        <w:rPr>
          <w:color w:val="000000"/>
        </w:rPr>
        <w:t>”</w:t>
      </w:r>
      <w:r>
        <w:rPr>
          <w:rFonts w:ascii="sans-serif" w:hAnsi="sans-serif"/>
          <w:b w:val="false"/>
          <w:color w:val="000000"/>
          <w:sz w:val="24"/>
        </w:rPr>
        <w:t>) is entered into by David Kronenfeld (“</w:t>
      </w:r>
      <w:r>
        <w:rPr>
          <w:rFonts w:ascii="sans-serif" w:hAnsi="sans-serif"/>
          <w:b w:val="false"/>
          <w:color w:val="000000"/>
          <w:sz w:val="24"/>
          <w:u w:val="single"/>
        </w:rPr>
        <w:t>Participant</w:t>
      </w:r>
      <w:r>
        <w:rPr>
          <w:color w:val="000000"/>
        </w:rPr>
        <w:t>”</w:t>
      </w:r>
      <w:r>
        <w:rPr>
          <w:rFonts w:ascii="sans-serif" w:hAnsi="sans-serif"/>
          <w:b w:val="false"/>
          <w:color w:val="000000"/>
          <w:sz w:val="24"/>
        </w:rPr>
        <w:t>) and USA Rare Earth, Inc. (the “</w:t>
      </w:r>
      <w:r>
        <w:rPr>
          <w:rFonts w:ascii="sans-serif" w:hAnsi="sans-serif"/>
          <w:b w:val="false"/>
          <w:color w:val="000000"/>
          <w:sz w:val="24"/>
          <w:u w:val="single"/>
        </w:rPr>
        <w:t>Company</w:t>
      </w:r>
      <w:r>
        <w:rPr>
          <w:color w:val="000000"/>
        </w:rPr>
        <w:t>”</w:t>
      </w:r>
      <w:r>
        <w:rPr>
          <w:rFonts w:ascii="sans-serif" w:hAnsi="sans-serif"/>
          <w:b w:val="false"/>
          <w:color w:val="000000"/>
          <w:sz w:val="24"/>
        </w:rPr>
        <w:t>) and the General Release attached hereto as Exhibit A (the “</w:t>
      </w:r>
      <w:r>
        <w:rPr>
          <w:rFonts w:ascii="sans-serif" w:hAnsi="sans-serif"/>
          <w:b w:val="false"/>
          <w:color w:val="000000"/>
          <w:sz w:val="24"/>
          <w:u w:val="single"/>
        </w:rPr>
        <w:t>General Release</w:t>
      </w:r>
      <w:r>
        <w:rPr>
          <w:color w:val="000000"/>
        </w:rPr>
        <w:t>”</w:t>
      </w:r>
      <w:r>
        <w:rPr>
          <w:rFonts w:ascii="sans-serif" w:hAnsi="sans-serif"/>
          <w:b w:val="false"/>
          <w:color w:val="000000"/>
          <w:sz w:val="24"/>
        </w:rPr>
        <w:t>) is the Release, as referenced (and defined) in the USA Rare Earth, Inc. Severance and Change of Control Protection Plan (the “</w:t>
      </w:r>
      <w:r>
        <w:rPr>
          <w:rFonts w:ascii="sans-serif" w:hAnsi="sans-serif"/>
          <w:b w:val="false"/>
          <w:color w:val="000000"/>
          <w:sz w:val="24"/>
          <w:u w:val="single"/>
        </w:rPr>
        <w:t>Plan</w:t>
      </w:r>
      <w:r>
        <w:rPr>
          <w:color w:val="000000"/>
        </w:rPr>
        <w:t>”</w:t>
      </w:r>
      <w:r>
        <w:rPr>
          <w:rFonts w:ascii="sans-serif" w:hAnsi="sans-serif"/>
          <w:b w:val="false"/>
          <w:color w:val="000000"/>
          <w:sz w:val="24"/>
        </w:rPr>
        <w:t>). Capitalized terms not defined herein or in the General Release have the meanings given to them in the Plan.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sans-serif" w:hAnsi="sans-serif"/>
          <w:b w:val="false"/>
          <w:color w:val="000000"/>
          <w:sz w:val="22"/>
        </w:rPr>
        <w:t>1.</w:t>
      </w:r>
      <w:r>
        <w:rPr>
          <w:rFonts w:ascii="sans-serif" w:hAnsi="sans-serif"/>
          <w:b w:val="false"/>
          <w:color w:val="000000"/>
          <w:sz w:val="24"/>
          <w:u w:val="single"/>
        </w:rPr>
        <w:t>Participant’s Separation</w:t>
      </w:r>
      <w:r>
        <w:rPr>
          <w:rFonts w:ascii="sans-serif" w:hAnsi="sans-serif"/>
          <w:b w:val="false"/>
          <w:color w:val="000000"/>
          <w:sz w:val="24"/>
        </w:rPr>
        <w:t>. Participant’s employment with the Company Group shall end, and Participant will no longer have any positions with the Company and its subsidiaries and will deliver resignations in furtherance of the foregoing, as of August 7, 2026 (the “</w:t>
      </w:r>
      <w:r>
        <w:rPr>
          <w:rFonts w:ascii="sans-serif" w:hAnsi="sans-serif"/>
          <w:b w:val="false"/>
          <w:color w:val="000000"/>
          <w:sz w:val="24"/>
          <w:u w:val="single"/>
        </w:rPr>
        <w:t>Separation Date</w:t>
      </w:r>
      <w:r>
        <w:rPr>
          <w:color w:val="000000"/>
        </w:rPr>
        <w:t>”</w:t>
      </w:r>
      <w:r>
        <w:rPr>
          <w:rFonts w:ascii="sans-serif" w:hAnsi="sans-serif"/>
          <w:b w:val="false"/>
          <w:color w:val="000000"/>
          <w:sz w:val="24"/>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2.</w:t>
      </w:r>
      <w:r>
        <w:rPr>
          <w:rFonts w:ascii="sans-serif" w:hAnsi="sans-serif"/>
          <w:b w:val="false"/>
          <w:color w:val="000000"/>
          <w:sz w:val="24"/>
          <w:u w:val="single"/>
        </w:rPr>
        <w:t>Transition Consulting Services</w:t>
      </w:r>
      <w:r>
        <w:rPr>
          <w:rFonts w:ascii="sans-serif" w:hAnsi="sans-serif"/>
          <w:b w:val="false"/>
          <w:color w:val="000000"/>
          <w:sz w:val="24"/>
        </w:rPr>
        <w:t>. During the period (the “</w:t>
      </w:r>
      <w:r>
        <w:rPr>
          <w:rFonts w:ascii="sans-serif" w:hAnsi="sans-serif"/>
          <w:b w:val="false"/>
          <w:color w:val="000000"/>
          <w:sz w:val="24"/>
          <w:u w:val="single"/>
        </w:rPr>
        <w:t>Consulting Period</w:t>
      </w:r>
      <w:r>
        <w:rPr>
          <w:color w:val="000000"/>
        </w:rPr>
        <w:t>”</w:t>
      </w:r>
      <w:r>
        <w:rPr>
          <w:rFonts w:ascii="sans-serif" w:hAnsi="sans-serif"/>
          <w:b w:val="false"/>
          <w:color w:val="000000"/>
          <w:sz w:val="24"/>
        </w:rPr>
        <w:t>) beginning on the Separation Date and ending on the date that is six months following the Separation Date, Participant will serve as a consultant to the Company. During the Consulting Period, Participant will make himself available upon reasonable request to assist Valerie Jacob and the Company’s Chief Financial Officer, and their respective designees, and transition Participant’s duties. In consideration for Participant’s services during the Consulting Period, Participant will be permitted to retain the 10,847 restricted stock units granted to Participant under the Company’s 2024 Omnibus Incentive Plan on March 31, 2026 that were originally scheduled to vest on March 1, 2028 (the “</w:t>
      </w:r>
      <w:r>
        <w:rPr>
          <w:rFonts w:ascii="sans-serif" w:hAnsi="sans-serif"/>
          <w:b w:val="false"/>
          <w:color w:val="000000"/>
          <w:sz w:val="24"/>
          <w:u w:val="single"/>
        </w:rPr>
        <w:t>Consulting RSUs</w:t>
      </w:r>
      <w:r>
        <w:rPr>
          <w:color w:val="000000"/>
        </w:rPr>
        <w:t>”</w:t>
      </w:r>
      <w:r>
        <w:rPr>
          <w:rFonts w:ascii="sans-serif" w:hAnsi="sans-serif"/>
          <w:b w:val="false"/>
          <w:color w:val="000000"/>
          <w:sz w:val="24"/>
        </w:rPr>
        <w:t xml:space="preserve">), and such units will vest on the last day of the Consulting Period, subject to Participant’s continued provision of consulting services until such day, and will be settled within 30 days following such vesting. For the avoidance of doubt, Participant will not be paid any cash compensation for Participant’s services during the Consulting Period. During the Consulting Period, Participant’s relationship with the Company will be that of an independent contractor rather than an employee. Participant will not be authorized to transact business or incur any expenses, obligations and/or liabilities on behalf of the Company. Participant will not be entitled to any of the benefits that the Company may make available to its employees, such as group insurance, profit-sharing or retirement benefits (except with respect to COBRA coverage as described below). </w:t>
      </w:r>
    </w:p>
    <w:p>
      <w:pPr>
        <w:pStyle w:val="TextBody"/>
        <w:bidi w:val="0"/>
        <w:spacing w:before="0" w:after="0"/>
        <w:jc w:val="left"/>
        <w:rPr/>
      </w:pPr>
      <w:r>
        <w:rPr/>
      </w:r>
    </w:p>
    <w:p>
      <w:pPr>
        <w:pStyle w:val="TextBody"/>
        <w:bidi w:val="0"/>
        <w:spacing w:lineRule="auto" w:line="288"/>
        <w:ind w:left="0" w:right="0" w:firstLine="360"/>
        <w:jc w:val="both"/>
        <w:rPr/>
      </w:pPr>
      <w:r>
        <w:rPr>
          <w:rFonts w:ascii="sans-serif" w:hAnsi="sans-serif"/>
          <w:b w:val="false"/>
          <w:color w:val="000000"/>
          <w:sz w:val="22"/>
        </w:rPr>
        <w:t>3.</w:t>
      </w:r>
      <w:r>
        <w:rPr>
          <w:rFonts w:ascii="sans-serif" w:hAnsi="sans-serif"/>
          <w:b w:val="false"/>
          <w:color w:val="000000"/>
          <w:sz w:val="24"/>
          <w:u w:val="single"/>
        </w:rPr>
        <w:t>Severance Payments &amp; Benefits</w:t>
      </w:r>
      <w:r>
        <w:rPr>
          <w:rFonts w:ascii="sans-serif" w:hAnsi="sans-serif"/>
          <w:b w:val="false"/>
          <w:color w:val="000000"/>
          <w:sz w:val="24"/>
        </w:rPr>
        <w:t>. Provided that Participant (i) executes this Separation Agreement, (ii) executes the General Release on or after the Separation Date and returns a copy of the signed General Release to the Company so that it is received by the Company at 100 W Airport Road, Stillwater, Oklahoma 74075, Attn: Chief Legal Officer, Email: Valerie.jacob@usare.com, no later than the expiration of the Consideration Period (as defined in the General Release), (iii) does not revoke Participant’s acceptance of the General Release pursuant to Section 4 thereof, and (iv) satisfies any applicable Restrictive Covenant Conditions, then the Company shall provide Participant with the following payments and benefits, subject to applicable withholdings:</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sans-serif" w:hAnsi="sans-serif"/>
          <w:b w:val="false"/>
          <w:color w:val="000000"/>
          <w:sz w:val="22"/>
        </w:rPr>
        <w:t>(a)</w:t>
      </w:r>
      <w:r>
        <w:rPr>
          <w:rFonts w:ascii="sans-serif" w:hAnsi="sans-serif"/>
          <w:b w:val="false"/>
          <w:color w:val="000000"/>
          <w:sz w:val="24"/>
        </w:rPr>
        <w:t xml:space="preserve">0.5 times Base Salary, in the amount of $170,625, which will be payable in a lump sum as soon as administratively practicable, and in all cases within 60 days following, the Separation Date;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sans-serif" w:hAnsi="sans-serif"/>
          <w:b w:val="false"/>
          <w:color w:val="000000"/>
          <w:sz w:val="22"/>
        </w:rPr>
        <w:t>(b)</w:t>
      </w:r>
      <w:r>
        <w:rPr>
          <w:rFonts w:ascii="sans-serif" w:hAnsi="sans-serif"/>
          <w:b w:val="false"/>
          <w:color w:val="000000"/>
          <w:sz w:val="24"/>
        </w:rPr>
        <w:t>A prorated portion of Participant’s target annual bonus, based on the number of days in 2026 completed through the Separation Date, in the amount of $102,375.00, which will be payable in a lump sum as soon as administratively practicable, and in all cases within 60 days following, the Separation Date;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sans-serif" w:hAnsi="sans-serif"/>
          <w:b w:val="false"/>
          <w:color w:val="000000"/>
          <w:sz w:val="22"/>
        </w:rPr>
        <w:t>(c)</w:t>
      </w:r>
      <w:r>
        <w:rPr>
          <w:rFonts w:ascii="sans-serif" w:hAnsi="sans-serif"/>
          <w:b w:val="false"/>
          <w:color w:val="000000"/>
          <w:sz w:val="24"/>
        </w:rPr>
        <w:t xml:space="preserve">6 months of COBRA Coverage on a monthly basis directly to the health plan providers on Participant’s behalf until the earliest of (i) the date that is six months following the Separation Date, (ii) the date on which Participant is no longer eligible to receive COBRA continuation coverage and (ii) the date on which Participant begins employment with another company or business entity that provides comparable health insurance to Participant. Participant shall promptly notify the Company of any circumstances or events that would be necessary for the Company to fulfill (or cease) its COBRA payment obligations;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sans-serif" w:hAnsi="sans-serif"/>
          <w:b w:val="false"/>
          <w:color w:val="000000"/>
          <w:sz w:val="22"/>
        </w:rPr>
        <w:t>(d)</w:t>
      </w:r>
      <w:r>
        <w:rPr>
          <w:rFonts w:ascii="sans-serif" w:hAnsi="sans-serif"/>
          <w:b w:val="false"/>
          <w:color w:val="000000"/>
          <w:sz w:val="24"/>
        </w:rPr>
        <w:t>Up to 12 months of outplacement counseling services with a provider of Participant’s choice, up to a maximum cost of $15,000 USD (the “</w:t>
      </w:r>
      <w:r>
        <w:rPr>
          <w:rFonts w:ascii="sans-serif" w:hAnsi="sans-serif"/>
          <w:b w:val="false"/>
          <w:color w:val="000000"/>
          <w:sz w:val="24"/>
          <w:u w:val="single"/>
        </w:rPr>
        <w:t>Outplacement Services</w:t>
      </w:r>
      <w:r>
        <w:rPr>
          <w:color w:val="000000"/>
        </w:rPr>
        <w:t>”</w:t>
      </w:r>
      <w:r>
        <w:rPr>
          <w:rFonts w:ascii="sans-serif" w:hAnsi="sans-serif"/>
          <w:b w:val="false"/>
          <w:color w:val="000000"/>
          <w:sz w:val="24"/>
        </w:rPr>
        <w:t xml:space="preserve">), provided that (i) Participant will pay the invoices and/or retainer for the Outplacement Services directly and submit such invoices and/or retainer to the Company for reimbursement, and (ii) the Company’s obligation to provide and/or reimburse the Outplacement Services shall cease immediately after Participant obtains subsequent employment; and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sans-serif" w:hAnsi="sans-serif"/>
          <w:b w:val="false"/>
          <w:color w:val="000000"/>
          <w:sz w:val="22"/>
        </w:rPr>
        <w:t>(e)</w:t>
      </w:r>
      <w:r>
        <w:rPr>
          <w:rFonts w:ascii="sans-serif" w:hAnsi="sans-serif"/>
          <w:b w:val="false"/>
          <w:color w:val="000000"/>
          <w:sz w:val="24"/>
        </w:rPr>
        <w:t>Accelerated vesting of the following restricted stock units within 60 days following the Separation Date, which units will be settled within 30 days following vesting:</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sans-serif" w:hAnsi="sans-serif"/>
          <w:b w:val="false"/>
          <w:color w:val="000000"/>
          <w:sz w:val="22"/>
        </w:rPr>
        <w:t>(i)</w:t>
      </w:r>
      <w:r>
        <w:rPr>
          <w:rFonts w:ascii="sans-serif" w:hAnsi="sans-serif"/>
          <w:b w:val="false"/>
          <w:color w:val="000000"/>
          <w:sz w:val="24"/>
        </w:rPr>
        <w:t>3,699 restricted stock units granted to Participant on December 19, 2025 and originally scheduled to vest on December 1, 2026;</w:t>
      </w:r>
    </w:p>
    <w:p>
      <w:pPr>
        <w:pStyle w:val="TextBody"/>
        <w:bidi w:val="0"/>
        <w:spacing w:lineRule="auto" w:line="288" w:before="0" w:after="0"/>
        <w:ind w:left="0" w:right="0" w:hanging="360"/>
        <w:jc w:val="both"/>
        <w:rPr/>
      </w:pPr>
      <w:r>
        <w:rPr>
          <w:rFonts w:ascii="sans-serif" w:hAnsi="sans-serif"/>
          <w:b w:val="false"/>
          <w:color w:val="000000"/>
          <w:sz w:val="22"/>
        </w:rPr>
        <w:t>(ii)</w:t>
      </w:r>
      <w:r>
        <w:rPr>
          <w:rFonts w:ascii="sans-serif" w:hAnsi="sans-serif"/>
          <w:b w:val="false"/>
          <w:color w:val="000000"/>
          <w:sz w:val="24"/>
        </w:rPr>
        <w:t xml:space="preserve">10,846 restricted stock units granted to Participant on March 31, 2026 and originally scheduled to vest on March 1, 2027; </w:t>
      </w:r>
    </w:p>
    <w:p>
      <w:pPr>
        <w:pStyle w:val="TextBody"/>
        <w:bidi w:val="0"/>
        <w:spacing w:lineRule="auto" w:line="288" w:before="0" w:after="0"/>
        <w:ind w:left="0" w:right="0" w:hanging="360"/>
        <w:jc w:val="both"/>
        <w:rPr/>
      </w:pPr>
      <w:r>
        <w:rPr>
          <w:rFonts w:ascii="sans-serif" w:hAnsi="sans-serif"/>
          <w:b w:val="false"/>
          <w:color w:val="000000"/>
          <w:sz w:val="22"/>
        </w:rPr>
        <w:t>(iii)</w:t>
      </w:r>
      <w:r>
        <w:rPr>
          <w:rFonts w:ascii="sans-serif" w:hAnsi="sans-serif"/>
          <w:b w:val="false"/>
          <w:color w:val="000000"/>
          <w:sz w:val="24"/>
        </w:rPr>
        <w:t>27,298 restricted stock units granted to Participant on August 13, 2025 and originally scheduled to vest on May 20, 2027; and</w:t>
      </w:r>
    </w:p>
    <w:p>
      <w:pPr>
        <w:pStyle w:val="TextBody"/>
        <w:bidi w:val="0"/>
        <w:spacing w:lineRule="auto" w:line="288" w:before="0" w:after="0"/>
        <w:ind w:left="0" w:right="0" w:hanging="360"/>
        <w:jc w:val="both"/>
        <w:rPr/>
      </w:pPr>
      <w:r>
        <w:rPr>
          <w:rFonts w:ascii="sans-serif" w:hAnsi="sans-serif"/>
          <w:b w:val="false"/>
          <w:color w:val="000000"/>
          <w:sz w:val="22"/>
        </w:rPr>
        <w:t>(iv)</w:t>
      </w:r>
      <w:r>
        <w:rPr>
          <w:rFonts w:ascii="sans-serif" w:hAnsi="sans-serif"/>
          <w:b w:val="false"/>
          <w:color w:val="000000"/>
          <w:sz w:val="24"/>
        </w:rPr>
        <w:t>3,698 restricted stock units granted to Participant on December 19, 2025 and originally scheduled to vest on December 1, 2027.</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Participant acknowledges and agrees that Participant is not eligible for or due any payments, equity, benefits, or notice other than as provided in this Separation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ind w:left="0" w:right="0" w:firstLine="360"/>
        <w:jc w:val="both"/>
        <w:rPr/>
      </w:pPr>
      <w:r>
        <w:rPr>
          <w:rFonts w:ascii="sans-serif" w:hAnsi="sans-serif"/>
          <w:b w:val="false"/>
          <w:color w:val="000000"/>
          <w:sz w:val="22"/>
        </w:rPr>
        <w:t>4.</w:t>
      </w:r>
      <w:r>
        <w:rPr>
          <w:rFonts w:ascii="sans-serif" w:hAnsi="sans-serif"/>
          <w:b w:val="false"/>
          <w:color w:val="000000"/>
          <w:sz w:val="24"/>
          <w:u w:val="single"/>
        </w:rPr>
        <w:t>Return of Company Property</w:t>
      </w:r>
      <w:r>
        <w:rPr>
          <w:rFonts w:ascii="sans-serif" w:hAnsi="sans-serif"/>
          <w:b w:val="false"/>
          <w:color w:val="000000"/>
          <w:sz w:val="24"/>
        </w:rPr>
        <w:t>. Participant will return all property belonging to the Company, including but not limited to: computers, computer equipment, and/or software; telephones or personal data assistants; other equipment; keys and/or access cards or devices; credit cards; books or other publications; board materials; current or prospective client, and/or customer lists or information; all Company-related emails, files, or folders on Participant’s personal computers or communication devices; and other business records such as memoranda, letters, email communications, lists of fees, personnel data, employee lists, salary and benefits information (other than relating to Participant), lists of suppliers and vendors, financial data, training materials, marketing plans, notes, records, reports, manuals, handbooks, forms, formulas, contracts, catalogs, instructions, and all other documentation (whether in draft or final and electronic or hard copy form) relating to the Company’s business, and any and all other documents containing proprietary information furnished to Participant by any representative of the Company or otherwise acquired or developed by Participant in connection with his employment with the Company, regardless of the manner in which Participant acquired possession of the documents or property (collectively, “</w:t>
      </w:r>
      <w:r>
        <w:rPr>
          <w:rFonts w:ascii="sans-serif" w:hAnsi="sans-serif"/>
          <w:b w:val="false"/>
          <w:color w:val="000000"/>
          <w:sz w:val="24"/>
          <w:u w:val="single"/>
        </w:rPr>
        <w:t>Company Materials</w:t>
      </w:r>
      <w:r>
        <w:rPr>
          <w:color w:val="000000"/>
        </w:rPr>
        <w:t>”</w:t>
      </w:r>
      <w:r>
        <w:rPr>
          <w:rFonts w:ascii="sans-serif" w:hAnsi="sans-serif"/>
          <w:b w:val="false"/>
          <w:color w:val="000000"/>
          <w:sz w:val="24"/>
        </w:rPr>
        <w:t>). The Company Materials shall at all times be the property of the Company. Within five days of the Separation Date, Participant shall return to the Company and shall confirm to the Company that Participant has returned any and all Company Materials and any and all copies thereof which are in Participant’s possession, custody, or control, including Company Materials retained by Participant in Participant’s office, automobile, personal electronic devices, or at Participant’s home.</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5.</w:t>
      </w:r>
      <w:r>
        <w:rPr>
          <w:rFonts w:ascii="sans-serif" w:hAnsi="sans-serif"/>
          <w:b w:val="false"/>
          <w:color w:val="000000"/>
          <w:sz w:val="24"/>
          <w:u w:val="single"/>
        </w:rPr>
        <w:t>Continuing Obligations</w:t>
      </w:r>
      <w:r>
        <w:rPr>
          <w:rFonts w:ascii="sans-serif" w:hAnsi="sans-serif"/>
          <w:b w:val="false"/>
          <w:color w:val="000000"/>
          <w:sz w:val="24"/>
        </w:rPr>
        <w:t>. Participant acknowledges that the Participant’s continued compliance with any confidentiality, non-solicitation, non-competition, non-disparagement, non-hire or similar covenants to which a Participant is subject pursuant to any written agreement with any entity in the Company Group (if any) (“</w:t>
      </w:r>
      <w:r>
        <w:rPr>
          <w:rFonts w:ascii="sans-serif" w:hAnsi="sans-serif"/>
          <w:b w:val="false"/>
          <w:color w:val="000000"/>
          <w:sz w:val="24"/>
          <w:u w:val="single"/>
        </w:rPr>
        <w:t>Continuing Obligations</w:t>
      </w:r>
      <w:r>
        <w:rPr>
          <w:color w:val="000000"/>
        </w:rPr>
        <w:t>”</w:t>
      </w:r>
      <w:r>
        <w:rPr>
          <w:rFonts w:ascii="sans-serif" w:hAnsi="sans-serif"/>
          <w:b w:val="false"/>
          <w:color w:val="000000"/>
          <w:sz w:val="24"/>
        </w:rPr>
        <w:t>) survive the termination of Participant’s employment in accordance with their terms and are reasonable and necessary to protect the legitimate business interests of the Company. Participant agrees Participant remains bound by such Continuing Obligations. Participant further represents and warrants that Participant has not divulged any confidential information of the Company without the Company’s consent. Subject to Participant’s protected rights set forth in Section 1(f) of the General Release, Participant further agrees not to defame or disparage the Company Group or their current or former officers, directors, employees, shareholders, members, agents or products. For the avoidance of doubt, the foregoing shall not be violated by truthful statements made in response to legal process, required governmental testimony or filings, or administrative or arbitral proceedings (including, without limitation, depositions in connection with such proceedings).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ind w:left="0" w:right="0" w:firstLine="360"/>
        <w:jc w:val="both"/>
        <w:rPr/>
      </w:pPr>
      <w:r>
        <w:rPr>
          <w:rFonts w:ascii="sans-serif" w:hAnsi="sans-serif"/>
          <w:b w:val="false"/>
          <w:color w:val="000000"/>
          <w:sz w:val="22"/>
        </w:rPr>
        <w:t>6.</w:t>
      </w:r>
      <w:r>
        <w:rPr>
          <w:rFonts w:ascii="sans-serif" w:hAnsi="sans-serif"/>
          <w:b w:val="false"/>
          <w:color w:val="000000"/>
          <w:sz w:val="24"/>
          <w:u w:val="single"/>
        </w:rPr>
        <w:t>Cooperation</w:t>
      </w:r>
      <w:r>
        <w:rPr>
          <w:rFonts w:ascii="sans-serif" w:hAnsi="sans-serif"/>
          <w:b w:val="false"/>
          <w:color w:val="000000"/>
          <w:sz w:val="24"/>
        </w:rPr>
        <w:t>. Participant agrees to cooperate fully and in good faith with the Company and/or the Released Parties (as defined in the General Release) and their respective legal counsel in any matters that have or may result in a legal claim against the Company and/or in any investigation or other government action. This requires Participant, without limitation, to (a) make himself/herself available upon reasonable request to provide information and assistance to the Company on such matters without additional compensation, except for Participant’s pre-approved out-of-pocket costs, and (b) notify the Company within three business days of any requests to Participant for information related to any pending or potential legal claim, investigation, or litigation involving the Company, reviewing any such request with a designated representative of the Company prior to disclosing any such information, and permitting the representative of the Company to be present during any communication of such information. Participant’s duty of cooperation will include, but not be limited to (i) meeting with the Company’s legal counsel by telephone or in person at mutually convenient times and places in order to state truthfully Participant’s knowledge of matters at issue and recollection of events; (ii) appearing at the Company’s and/or its legal counsel’s request (and, to the extent possible, at a time convenient to Participant that does not conflict with the needs or requirements of Participant’s then-current employer) as a witness at depositions or trials, without necessity of a subpoena, in order to state truthfully Participant’s knowledge of matters at issue; and (iii) signing at the Company’s and/or its legal counsel’s request any declarations or affidavits that truthfully state matters of which Participant has knowledge.</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7.</w:t>
      </w:r>
      <w:r>
        <w:rPr>
          <w:rFonts w:ascii="sans-serif" w:hAnsi="sans-serif"/>
          <w:b w:val="false"/>
          <w:color w:val="000000"/>
          <w:sz w:val="24"/>
          <w:u w:val="single"/>
        </w:rPr>
        <w:t>Governing Law and Forum Selection</w:t>
      </w:r>
      <w:r>
        <w:rPr>
          <w:rFonts w:ascii="sans-serif" w:hAnsi="sans-serif"/>
          <w:b w:val="false"/>
          <w:color w:val="000000"/>
          <w:sz w:val="24"/>
        </w:rPr>
        <w:t>. The parties agree that this Separation Agreement shall be governed by and construed in accordance with the laws of the State of Delaware, without reference to its conflict or choice of laws principles. The parties further agree that the exclusive forum for resolution of any dispute arising out of or in connection with this Separation Agreement, Participant’s employment with the Company, and/or the separation of Participant’s employment from the Company will be in a state or federal court of appropriate jurisdiction in Delaware.</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8.</w:t>
      </w:r>
      <w:r>
        <w:rPr>
          <w:rFonts w:ascii="sans-serif" w:hAnsi="sans-serif"/>
          <w:b w:val="false"/>
          <w:color w:val="000000"/>
          <w:sz w:val="24"/>
          <w:u w:val="single"/>
        </w:rPr>
        <w:t>Counterparts</w:t>
      </w:r>
      <w:r>
        <w:rPr>
          <w:rFonts w:ascii="sans-serif" w:hAnsi="sans-serif"/>
          <w:b w:val="false"/>
          <w:color w:val="000000"/>
          <w:sz w:val="24"/>
        </w:rPr>
        <w:t>. This Separation Agreement may be executed in one or more counterparts (including portable document format (.pdf) counterparts), each of which shall be deemed to be an original, but all of which together will constitute one and the same Separation Agreement.</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9.</w:t>
      </w:r>
      <w:r>
        <w:rPr>
          <w:rFonts w:ascii="sans-serif" w:hAnsi="sans-serif"/>
          <w:b w:val="false"/>
          <w:color w:val="000000"/>
          <w:sz w:val="24"/>
          <w:u w:val="single"/>
        </w:rPr>
        <w:t>Severability</w:t>
      </w:r>
      <w:r>
        <w:rPr>
          <w:rFonts w:ascii="sans-serif" w:hAnsi="sans-serif"/>
          <w:b w:val="false"/>
          <w:color w:val="000000"/>
          <w:sz w:val="24"/>
        </w:rPr>
        <w:t>. To the extent permitted by applicable law, the Company and Participant hereby agree that any term or provision of this Separation Agreement that renders such term or provision or any other term or provision hereof invalid or unenforceable in any respect shall be severable and shall be modified or severed to the extent necessary to avoid rendering such term or provision invalid or unenforceable, and such modification or severance shall be accomplished in the manner that most nearly preserves the benefit of the parties’ bargain hereunder.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ind w:left="0" w:right="0" w:firstLine="360"/>
        <w:jc w:val="both"/>
        <w:rPr/>
      </w:pPr>
      <w:r>
        <w:rPr>
          <w:rFonts w:ascii="sans-serif" w:hAnsi="sans-serif"/>
          <w:b w:val="false"/>
          <w:color w:val="000000"/>
          <w:sz w:val="22"/>
        </w:rPr>
        <w:t>10.</w:t>
      </w:r>
      <w:r>
        <w:rPr>
          <w:rFonts w:ascii="sans-serif" w:hAnsi="sans-serif"/>
          <w:b w:val="false"/>
          <w:color w:val="000000"/>
          <w:sz w:val="24"/>
          <w:u w:val="single"/>
        </w:rPr>
        <w:t>Headings; References; Interpretations</w:t>
      </w:r>
      <w:r>
        <w:rPr>
          <w:rFonts w:ascii="sans-serif" w:hAnsi="sans-serif"/>
          <w:b w:val="false"/>
          <w:color w:val="000000"/>
          <w:sz w:val="24"/>
        </w:rPr>
        <w:t>. Section headings have been inserted for purposes of convenience and shall not be used for interpretive purposes. The words “hereof,” “herein” and “hereunder” and other compounds of the word “here” shall refer to the entire Release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All references herein to a law, agreement, instrument or other document shall be deemed to refer to such law, agreement, instrument or other document as amended, supplemented, modified and restated from time to time to the extent permitted by the provisions thereof. Neither this Separation Agreement nor any uncertainty or ambiguity herein shall be construed against any party, whether under any rule of construction or otherwise. This Separation Agreement has been reviewed by each of the parties and shall be construed and interpreted according to the ordinary meaning of the words used so as to fairly accomplish the purposes and intentions of the parties.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11.</w:t>
      </w:r>
      <w:r>
        <w:rPr>
          <w:rFonts w:ascii="sans-serif" w:hAnsi="sans-serif"/>
          <w:b w:val="false"/>
          <w:color w:val="000000"/>
          <w:sz w:val="24"/>
          <w:u w:val="single"/>
        </w:rPr>
        <w:t>Entire Agreement</w:t>
      </w:r>
      <w:r>
        <w:rPr>
          <w:rFonts w:ascii="sans-serif" w:hAnsi="sans-serif"/>
          <w:b w:val="false"/>
          <w:color w:val="000000"/>
          <w:sz w:val="24"/>
        </w:rPr>
        <w:t xml:space="preserve">. This Separation Agreement, which incorporates the Plan, together with the General Release and that certain Indemnification Agreement dated March 13, 2025, by and between the Company and the Participant, which is attached hereto as </w:t>
      </w:r>
      <w:r>
        <w:rPr>
          <w:rFonts w:ascii="sans-serif" w:hAnsi="sans-serif"/>
          <w:b w:val="false"/>
          <w:color w:val="000000"/>
          <w:sz w:val="24"/>
          <w:u w:val="single"/>
        </w:rPr>
        <w:t>Exhibit B</w:t>
      </w:r>
      <w:r>
        <w:rPr>
          <w:color w:val="000000"/>
        </w:rPr>
        <w:t xml:space="preserve"> </w:t>
      </w:r>
      <w:r>
        <w:rPr>
          <w:rFonts w:ascii="sans-serif" w:hAnsi="sans-serif"/>
          <w:b w:val="false"/>
          <w:color w:val="000000"/>
          <w:sz w:val="24"/>
        </w:rPr>
        <w:t>(the “</w:t>
      </w:r>
      <w:r>
        <w:rPr>
          <w:rFonts w:ascii="sans-serif" w:hAnsi="sans-serif"/>
          <w:b w:val="false"/>
          <w:color w:val="000000"/>
          <w:sz w:val="24"/>
          <w:u w:val="single"/>
        </w:rPr>
        <w:t>Indemnification Agreement</w:t>
      </w:r>
      <w:r>
        <w:rPr>
          <w:color w:val="000000"/>
        </w:rPr>
        <w:t>”</w:t>
      </w:r>
      <w:r>
        <w:rPr>
          <w:rFonts w:ascii="sans-serif" w:hAnsi="sans-serif"/>
          <w:b w:val="false"/>
          <w:color w:val="000000"/>
          <w:sz w:val="24"/>
        </w:rPr>
        <w:t>) (which will survive Participant’s separation pursuant to its terms), is the complete understanding between Participant and the Company regarding the subject matter hereof. It replaces any other agreements, representations or promises, written or oral.</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ind w:left="0" w:right="0" w:firstLine="360"/>
        <w:jc w:val="both"/>
        <w:rPr/>
      </w:pPr>
      <w:r>
        <w:rPr>
          <w:rFonts w:ascii="sans-serif" w:hAnsi="sans-serif"/>
          <w:b/>
          <w:color w:val="000000"/>
          <w:sz w:val="24"/>
        </w:rPr>
        <w:t>IN WITNESS WHEREOF</w:t>
      </w:r>
      <w:r>
        <w:rPr>
          <w:rFonts w:ascii="sans-serif" w:hAnsi="sans-serif"/>
          <w:b w:val="false"/>
          <w:color w:val="000000"/>
          <w:sz w:val="24"/>
        </w:rPr>
        <w:t>, the parties hereto have executed this Separation Agreement with the intent to be legally bound.</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88" w:before="0" w:after="0"/>
        <w:ind w:left="0" w:right="0" w:firstLine="4320"/>
        <w:jc w:val="left"/>
        <w:rPr>
          <w:rFonts w:ascii="sans-serif" w:hAnsi="sans-serif"/>
          <w:b/>
          <w:color w:val="000000"/>
          <w:sz w:val="24"/>
        </w:rPr>
      </w:pPr>
      <w:r>
        <w:rPr>
          <w:rFonts w:ascii="sans-serif" w:hAnsi="sans-serif"/>
          <w:b/>
          <w:color w:val="000000"/>
          <w:sz w:val="24"/>
        </w:rPr>
        <w:t>Accepted by:</w:t>
      </w:r>
    </w:p>
    <w:p>
      <w:pPr>
        <w:pStyle w:val="TextBody"/>
        <w:bidi w:val="0"/>
        <w:spacing w:lineRule="auto" w:line="288" w:before="0" w:after="0"/>
        <w:ind w:left="0" w:right="0" w:firstLine="4320"/>
        <w:jc w:val="left"/>
        <w:rPr>
          <w:rFonts w:ascii="sans-serif" w:hAnsi="sans-serif"/>
          <w:b/>
          <w:color w:val="000000"/>
          <w:sz w:val="24"/>
        </w:rPr>
      </w:pPr>
      <w:r>
        <w:rPr>
          <w:rFonts w:ascii="sans-serif" w:hAnsi="sans-serif"/>
          <w:b/>
          <w:color w:val="000000"/>
          <w:sz w:val="24"/>
        </w:rPr>
        <w:t>USA RARE EARTH, INC.</w:t>
      </w:r>
    </w:p>
    <w:p>
      <w:pPr>
        <w:pStyle w:val="TextBody"/>
        <w:bidi w:val="0"/>
        <w:spacing w:before="0" w:after="0"/>
        <w:ind w:left="0" w:right="0" w:firstLine="4320"/>
        <w:jc w:val="left"/>
        <w:rPr/>
      </w:pPr>
      <w:r>
        <w:rPr/>
      </w:r>
    </w:p>
    <w:p>
      <w:pPr>
        <w:pStyle w:val="TextBody"/>
        <w:bidi w:val="0"/>
        <w:spacing w:lineRule="auto" w:line="288" w:before="0" w:after="0"/>
        <w:ind w:left="0" w:right="0" w:firstLine="4320"/>
        <w:jc w:val="left"/>
        <w:rPr/>
      </w:pPr>
      <w:r>
        <w:rPr>
          <w:rFonts w:ascii="sans-serif" w:hAnsi="sans-serif"/>
          <w:b w:val="false"/>
          <w:color w:val="000000"/>
          <w:sz w:val="24"/>
        </w:rPr>
        <w:t>By:    </w:t>
      </w:r>
      <w:r>
        <w:rPr>
          <w:rFonts w:ascii="sans-serif" w:hAnsi="sans-serif"/>
          <w:b w:val="false"/>
          <w:color w:val="000000"/>
          <w:sz w:val="24"/>
          <w:u w:val="single"/>
        </w:rPr>
        <w:t>/s/ Valerie Ford Jacob    </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Name:    Valerie Jacob</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Title:    Chief Legal Officer</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Date:    6/16/2026</w:t>
      </w:r>
    </w:p>
    <w:p>
      <w:pPr>
        <w:pStyle w:val="TextBody"/>
        <w:bidi w:val="0"/>
        <w:spacing w:before="0" w:after="0"/>
        <w:jc w:val="left"/>
        <w:rPr/>
      </w:pPr>
      <w:r>
        <w:rPr/>
      </w:r>
    </w:p>
    <w:p>
      <w:pPr>
        <w:pStyle w:val="TextBody"/>
        <w:bidi w:val="0"/>
        <w:spacing w:lineRule="auto" w:line="288" w:before="0" w:after="0"/>
        <w:ind w:left="0" w:right="0" w:firstLine="4320"/>
        <w:jc w:val="left"/>
        <w:rPr>
          <w:rFonts w:ascii="sans-serif" w:hAnsi="sans-serif"/>
          <w:b/>
          <w:color w:val="000000"/>
          <w:sz w:val="24"/>
        </w:rPr>
      </w:pPr>
      <w:r>
        <w:rPr>
          <w:rFonts w:ascii="sans-serif" w:hAnsi="sans-serif"/>
          <w:b/>
          <w:color w:val="000000"/>
          <w:sz w:val="24"/>
        </w:rPr>
        <w:t>PARTICIPANT</w:t>
      </w:r>
    </w:p>
    <w:p>
      <w:pPr>
        <w:pStyle w:val="TextBody"/>
        <w:bidi w:val="0"/>
        <w:spacing w:before="0" w:after="0"/>
        <w:ind w:left="0" w:right="0" w:firstLine="4320"/>
        <w:jc w:val="left"/>
        <w:rPr/>
      </w:pPr>
      <w:r>
        <w:rPr/>
      </w:r>
    </w:p>
    <w:p>
      <w:pPr>
        <w:pStyle w:val="TextBody"/>
        <w:bidi w:val="0"/>
        <w:spacing w:lineRule="auto" w:line="288" w:before="0" w:after="0"/>
        <w:ind w:left="0" w:right="0" w:firstLine="4320"/>
        <w:jc w:val="left"/>
        <w:rPr/>
      </w:pPr>
      <w:r>
        <w:rPr>
          <w:rFonts w:ascii="sans-serif" w:hAnsi="sans-serif"/>
          <w:b w:val="false"/>
          <w:color w:val="000000"/>
          <w:sz w:val="24"/>
        </w:rPr>
        <w:t>By:    </w:t>
      </w:r>
      <w:r>
        <w:rPr>
          <w:rFonts w:ascii="sans-serif" w:hAnsi="sans-serif"/>
          <w:b w:val="false"/>
          <w:color w:val="000000"/>
          <w:sz w:val="24"/>
          <w:u w:val="single"/>
        </w:rPr>
        <w:t>/s/ David Kronenfeld    </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Name:    David Kronenfeld</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Date:    6/16/2026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EXHIBIT A</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GENERAL RELEASE OF CLAIMS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360"/>
        <w:jc w:val="both"/>
        <w:rPr/>
      </w:pPr>
      <w:r>
        <w:rPr>
          <w:rFonts w:ascii="sans-serif" w:hAnsi="sans-serif"/>
          <w:b w:val="false"/>
          <w:color w:val="000000"/>
          <w:sz w:val="22"/>
        </w:rPr>
        <w:t>1.</w:t>
      </w:r>
      <w:r>
        <w:rPr>
          <w:rFonts w:ascii="sans-serif" w:hAnsi="sans-serif"/>
          <w:b w:val="false"/>
          <w:color w:val="000000"/>
          <w:sz w:val="24"/>
          <w:u w:val="single"/>
        </w:rPr>
        <w:t>Release of Claims</w:t>
      </w:r>
      <w:r>
        <w:rPr>
          <w:rFonts w:ascii="sans-serif" w:hAnsi="sans-serif"/>
          <w:b w:val="false"/>
          <w:color w:val="000000"/>
          <w:sz w:val="24"/>
        </w:rPr>
        <w:t>.</w:t>
      </w:r>
    </w:p>
    <w:p>
      <w:pPr>
        <w:pStyle w:val="TextBody"/>
        <w:bidi w:val="0"/>
        <w:spacing w:before="0" w:after="0"/>
        <w:jc w:val="left"/>
        <w:rPr/>
      </w:pPr>
      <w:r>
        <w:rPr/>
      </w:r>
    </w:p>
    <w:p>
      <w:pPr>
        <w:pStyle w:val="TextBody"/>
        <w:bidi w:val="0"/>
        <w:spacing w:lineRule="auto" w:line="288"/>
        <w:ind w:left="0" w:right="0" w:firstLine="720"/>
        <w:jc w:val="both"/>
        <w:rPr/>
      </w:pPr>
      <w:r>
        <w:rPr>
          <w:rFonts w:ascii="sans-serif" w:hAnsi="sans-serif"/>
          <w:b w:val="false"/>
          <w:color w:val="000000"/>
          <w:sz w:val="24"/>
        </w:rPr>
        <w:t>(a) As consideration for (and as a condition of) the payment to David Kronenfeld (“</w:t>
      </w:r>
      <w:r>
        <w:rPr>
          <w:rFonts w:ascii="sans-serif" w:hAnsi="sans-serif"/>
          <w:b w:val="false"/>
          <w:color w:val="000000"/>
          <w:sz w:val="24"/>
          <w:u w:val="single"/>
        </w:rPr>
        <w:t>Participant</w:t>
      </w:r>
      <w:r>
        <w:rPr>
          <w:color w:val="000000"/>
        </w:rPr>
        <w:t>”</w:t>
      </w:r>
      <w:r>
        <w:rPr>
          <w:rFonts w:ascii="sans-serif" w:hAnsi="sans-serif"/>
          <w:b w:val="false"/>
          <w:color w:val="000000"/>
          <w:sz w:val="24"/>
        </w:rPr>
        <w:t>) of the consideration (and any portion thereof) referenced in Section 2 of the Transition and Separation Agreement entered into by Participant and USA Rare Earth, Inc. (the “</w:t>
      </w:r>
      <w:r>
        <w:rPr>
          <w:rFonts w:ascii="sans-serif" w:hAnsi="sans-serif"/>
          <w:b w:val="false"/>
          <w:color w:val="000000"/>
          <w:sz w:val="24"/>
          <w:u w:val="single"/>
        </w:rPr>
        <w:t>Company</w:t>
      </w:r>
      <w:r>
        <w:rPr>
          <w:color w:val="000000"/>
        </w:rPr>
        <w:t>”</w:t>
      </w:r>
      <w:r>
        <w:rPr>
          <w:rFonts w:ascii="sans-serif" w:hAnsi="sans-serif"/>
          <w:b w:val="false"/>
          <w:color w:val="000000"/>
          <w:sz w:val="24"/>
        </w:rPr>
        <w:t>) to which this General Release of Claims is attached (the “</w:t>
      </w:r>
      <w:r>
        <w:rPr>
          <w:rFonts w:ascii="sans-serif" w:hAnsi="sans-serif"/>
          <w:b w:val="false"/>
          <w:color w:val="000000"/>
          <w:sz w:val="24"/>
          <w:u w:val="single"/>
        </w:rPr>
        <w:t>Separation Agreement</w:t>
      </w:r>
      <w:r>
        <w:rPr>
          <w:color w:val="000000"/>
        </w:rPr>
        <w:t>”</w:t>
      </w:r>
      <w:r>
        <w:rPr>
          <w:rFonts w:ascii="sans-serif" w:hAnsi="sans-serif"/>
          <w:b w:val="false"/>
          <w:color w:val="000000"/>
          <w:sz w:val="24"/>
        </w:rPr>
        <w:t>), Participant, on behalf of Participant and Participant’s successors and anyone purporting to claim through or on behalf of Participant, hereby forever, fully and finally releases, acquits, and discharges the Company, each other member of the Company Group, and each of their respective parents, subsidiaries, and other affiliates and each of the foregoing entities’ respective past, present and future affiliates and subsidiaries and each of the foregoing entities’ respective predecessors, successors, shareholders, members, partners, officers, managers, directors, fiduciaries, employees, representatives, agents, and benefit plans (and the fiduciaries of such plans), in their personal and representative capacities (collectively, the “</w:t>
      </w:r>
      <w:r>
        <w:rPr>
          <w:rFonts w:ascii="sans-serif" w:hAnsi="sans-serif"/>
          <w:b w:val="false"/>
          <w:color w:val="000000"/>
          <w:sz w:val="24"/>
          <w:u w:val="single"/>
        </w:rPr>
        <w:t>Released Parties</w:t>
      </w:r>
      <w:r>
        <w:rPr>
          <w:color w:val="000000"/>
        </w:rPr>
        <w:t xml:space="preserve">” </w:t>
      </w:r>
      <w:r>
        <w:rPr>
          <w:rFonts w:ascii="sans-serif" w:hAnsi="sans-serif"/>
          <w:b w:val="false"/>
          <w:color w:val="000000"/>
          <w:sz w:val="24"/>
        </w:rPr>
        <w:t>and each a “</w:t>
      </w:r>
      <w:r>
        <w:rPr>
          <w:rFonts w:ascii="sans-serif" w:hAnsi="sans-serif"/>
          <w:b w:val="false"/>
          <w:color w:val="000000"/>
          <w:sz w:val="24"/>
          <w:u w:val="single"/>
        </w:rPr>
        <w:t>Released Party</w:t>
      </w:r>
      <w:r>
        <w:rPr>
          <w:color w:val="000000"/>
        </w:rPr>
        <w:t>”</w:t>
      </w:r>
      <w:r>
        <w:rPr>
          <w:rFonts w:ascii="sans-serif" w:hAnsi="sans-serif"/>
          <w:b w:val="false"/>
          <w:color w:val="000000"/>
          <w:sz w:val="24"/>
        </w:rPr>
        <w:t>), from liability for – and does hereby covenant and agree never to institute or cause to be instituted any lawsuit, arbitration or similar proceeding against any of the Released Parties based upon – claims, demands, losses, indebtedness, agreements, promises, causes of action, obligations, damages and liabilities of any nature whatsoever, in law or in equity, whether or not known, suspected or claimed, that Participant has ever had, has claimed to have, now has, or could have against any Released Party by reason of any act, event, occurrence, or thing existing or occurring on or before the date that Participant signs this General Release (the “</w:t>
      </w:r>
      <w:r>
        <w:rPr>
          <w:rFonts w:ascii="sans-serif" w:hAnsi="sans-serif"/>
          <w:b w:val="false"/>
          <w:color w:val="000000"/>
          <w:sz w:val="24"/>
          <w:u w:val="single"/>
        </w:rPr>
        <w:t>Signing Date</w:t>
      </w:r>
      <w:r>
        <w:rPr>
          <w:color w:val="000000"/>
        </w:rPr>
        <w:t>”</w:t>
      </w:r>
      <w:r>
        <w:rPr>
          <w:rFonts w:ascii="sans-serif" w:hAnsi="sans-serif"/>
          <w:b w:val="false"/>
          <w:color w:val="000000"/>
          <w:sz w:val="24"/>
        </w:rPr>
        <w:t>), including any and all claims, demands, losses, indebtedness, agreements, promises, causes of action, obligations, damages and liabilities relating to Participant’s ownership of any interest in any Released Party, Participant’s employment with or engagement by any Released Party, Participant’s awards under any compensation or bonus plan or arrangement sponsored or maintained by any Released Party, or any other acts or omissions related to any matter existing or occurring on or prior to the Signing Date, including: (i) any alleged violation of any federal, state or local labor or employment law, including those relating to anti-discrimination and anti-retaliation, or any other local, state or federal law, regulation or ordinance, including, for the avoidance of doubt, Title VII of the Civil Rights Act of 1967, the Civil Rights Act of 1991, Sections 1981 through 1988 of Title 42 of the United States Code, the Employee Retirement Income Security Act of 1974 (with respect to unvested benefits), the Fair Labor Standards Act of 1938 (with respect to rights and claims that may be legally waived and released by private agreement), the Equal Pay Act of 1963, the Lilly Ledbetter Fair Pay Act of 2009, the Family and Medical Leave Act of 1993, the Americans with Disabilities Act of 1990, the Age Discrimination in Employment Act of 1967 (“</w:t>
      </w:r>
      <w:r>
        <w:rPr>
          <w:rFonts w:ascii="sans-serif" w:hAnsi="sans-serif"/>
          <w:b w:val="false"/>
          <w:color w:val="000000"/>
          <w:sz w:val="24"/>
          <w:u w:val="single"/>
        </w:rPr>
        <w:t>ADEA</w:t>
      </w:r>
      <w:r>
        <w:rPr>
          <w:color w:val="000000"/>
        </w:rPr>
        <w:t>”</w:t>
      </w:r>
      <w:r>
        <w:rPr>
          <w:rFonts w:ascii="sans-serif" w:hAnsi="sans-serif"/>
          <w:b w:val="false"/>
          <w:color w:val="000000"/>
          <w:sz w:val="24"/>
        </w:rPr>
        <w:t>), the Older Worker Benefit Protection Act (“</w:t>
      </w:r>
      <w:r>
        <w:rPr>
          <w:rFonts w:ascii="sans-serif" w:hAnsi="sans-serif"/>
          <w:b w:val="false"/>
          <w:color w:val="000000"/>
          <w:sz w:val="24"/>
          <w:u w:val="single"/>
        </w:rPr>
        <w:t>OWBPA</w:t>
      </w:r>
      <w:r>
        <w:rPr>
          <w:color w:val="000000"/>
        </w:rPr>
        <w:t>”</w:t>
      </w:r>
      <w:r>
        <w:rPr>
          <w:rFonts w:ascii="sans-serif" w:hAnsi="sans-serif"/>
          <w:b w:val="false"/>
          <w:color w:val="000000"/>
          <w:sz w:val="24"/>
        </w:rPr>
        <w:t xml:space="preserve">), the Genetic Information Nondiscrimination Act of 2008, the Rehabilitation Act of 1973, the Worker Adjustment and Retraining Notification Act of 1988, the Sarbanes-Oxley Act of 2002, the Equal Pay Act of 1963, the Immigration Reform and Control Act of 1986, the Occupational Safety and Health Act of 1970, the Fair Credit Reporting Act of 1970, the Oklahoma Anti-Discrimination Act, the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w:t>
                      </w:r>
                    </w:p>
                  </w:txbxContent>
                </v:textbox>
                <w10:wrap type="none"/>
              </v:rect>
            </w:pict>
          </mc:Fallback>
        </mc:AlternateContent>
      </w:r>
    </w:p>
    <w:p>
      <w:pPr>
        <w:pStyle w:val="TextBody"/>
        <w:bidi w:val="0"/>
        <w:spacing w:lineRule="auto" w:line="288" w:before="0" w:after="0"/>
        <w:jc w:val="both"/>
        <w:rPr/>
      </w:pPr>
      <w:r>
        <w:rPr>
          <w:rFonts w:ascii="sans-serif" w:hAnsi="sans-serif"/>
          <w:b w:val="false"/>
          <w:color w:val="000000"/>
          <w:sz w:val="24"/>
        </w:rPr>
        <w:t>Oklahoma Minimum Wage Act, retaliation claims under the Oklahoma Administrative Workers’ Compensation Act, retaliation claims under the Oklahoma Workers’ Compensation Act, the Texas Labor Code, including the Texas Payday Act, the Texas Anti-Retaliation Act, Chapter 21 of the Texas Labor Code, and the Texas Whistleblower Act, the Florida Civil Rights Act of 1992, the Florida Whistleblower’s Act, the Florida Worker’s Compensation Law, the Florida Minimum Wage Act, the Florida General Labor Regulations, all including any amendments and their respective implementing regulations; and any federal, state or local wage and hour law; (ii)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duty or wrongful discharge; (iii) any allegation for costs, fees, or other expenses including attorneys’ fees incurred in, or with respect to, any Released Claims (as defined below); (iv) any claim, whether direct or derivative, arising from, or relating to, Participant’s status as a holder of any shares or interests in any Released Party; (v) any and all rights, benefits or claims Participant may have under (A) any employment agreement, the Plan, incentive plan, bonus agreement, or award agreement, or otherwise with respect to any amount owed on or before the Signing Date or (B) any other agreement, plan or arrangement with, or sponsored or maintained by, any Released Party; and (vi) any claim for compensation or benefits of any kind through the Signing Date (collectively, the “</w:t>
      </w:r>
      <w:r>
        <w:rPr>
          <w:rFonts w:ascii="sans-serif" w:hAnsi="sans-serif"/>
          <w:b w:val="false"/>
          <w:color w:val="000000"/>
          <w:sz w:val="24"/>
          <w:u w:val="single"/>
        </w:rPr>
        <w:t>Released Claims</w:t>
      </w:r>
      <w:r>
        <w:rPr>
          <w:color w:val="000000"/>
        </w:rPr>
        <w:t>”</w:t>
      </w:r>
      <w:r>
        <w:rPr>
          <w:rFonts w:ascii="sans-serif" w:hAnsi="sans-serif"/>
          <w:b w:val="false"/>
          <w:color w:val="000000"/>
          <w:sz w:val="24"/>
        </w:rPr>
        <w:t>); provided that the Released Claims do not include the Participant’s rights to receive the compensation and benefits set forth in Sections 2 and 3 of the Separation Agreement or any of Participant’s rights under the Indemnification Agreement. THIS GENERAL RELEASE INCLUDES MATTERS ATTRIBUTABLE TO THE SOLE OR PARTIAL NEGLIGENCE (WHETHER GROSS OR SIMPLE) OR OTHER FAULT, INCLUDING STRICT LIABILITY, OF ANY OF THE RELEASED PARTIES.</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sans-serif" w:hAnsi="sans-serif"/>
          <w:b w:val="false"/>
          <w:color w:val="000000"/>
          <w:sz w:val="24"/>
        </w:rPr>
      </w:pPr>
      <w:r>
        <w:rPr>
          <w:rFonts w:ascii="sans-serif" w:hAnsi="sans-serif"/>
          <w:b w:val="false"/>
          <w:color w:val="000000"/>
          <w:sz w:val="24"/>
        </w:rPr>
        <w:t>(b) The parties intend for this General Release to be interpreted and construed as broadly as it appears on its face and to the broadest and fullest extent permitted under applicable laws.</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sans-serif" w:hAnsi="sans-serif"/>
          <w:b w:val="false"/>
          <w:color w:val="000000"/>
          <w:sz w:val="24"/>
        </w:rPr>
        <w:t>(c) This General Release requires Participant to abandon all claims or proceedings Participant has against the Released Parties, including those on appeal, if any. If Participant has previously filed a claim against any of the Released Parties in a court of law or initiated a claim or proceeding against or about any of the Released Parties, Participant hereby agrees and covenants to take all steps necessary to cause such claims or proceedings to be dismissed with prejudice within three business days of executing this General Release.</w:t>
      </w:r>
      <w:r>
        <w:rPr>
          <w:color w:val="000000"/>
        </w:rPr>
        <w:t xml:space="preserve"> </w:t>
      </w:r>
      <w:r>
        <w:rPr>
          <w:rFonts w:ascii="sans-serif" w:hAnsi="sans-serif"/>
          <w:b w:val="false"/>
          <w:color w:val="000000"/>
          <w:sz w:val="24"/>
        </w:rPr>
        <w:t>If Participant fails to comply with Participant’s obligations under this General Release, Participant agrees to pay all of the Company’s costs and expenses (including reasonable attorneys’ fees) related to the defense of any claims covered by this General Release or any Released Party’s efforts to enforce the terms of this General Release, except that this covenant not to sue does not apply to claims under the OWBPA and the ADEA. Although Participant is releasing claims that Participant may have under the ADEA, Participant may challenge the knowing and voluntary nature of this release before an arbitrator, the Equal Employment Opportunity Commission, or any other federal, state, or local agency charged with the enforcement of any employment laws. This provision is not intended to preclude otherwise available recovery of attorneys’ fees or costs specifically authorized under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A-2</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sans-serif" w:hAnsi="sans-serif"/>
          <w:b w:val="false"/>
          <w:color w:val="000000"/>
          <w:sz w:val="24"/>
        </w:rPr>
      </w:pPr>
      <w:r>
        <w:rPr>
          <w:rFonts w:ascii="sans-serif" w:hAnsi="sans-serif"/>
          <w:b w:val="false"/>
          <w:color w:val="000000"/>
          <w:sz w:val="24"/>
        </w:rPr>
        <w:t>(d) The foregoing release does not release or impair (i) any rights to vested benefits under an employee benefit plan of any Released Party that is subject to ERISA and that cannot be released pursuant to ERISA, (ii) any claims first arising after the Signing Date or (iii) Participant’s ability to file a claim for unemployment insurance or workers’ compensation benefits or any state disability insurance.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sans-serif" w:hAnsi="sans-serif"/>
          <w:b w:val="false"/>
          <w:color w:val="000000"/>
          <w:sz w:val="24"/>
        </w:rPr>
        <w:t xml:space="preserve">(e) </w:t>
      </w:r>
      <w:r>
        <w:rPr>
          <w:rFonts w:ascii="sans-serif" w:hAnsi="sans-serif"/>
          <w:b w:val="false"/>
          <w:color w:val="000000"/>
          <w:sz w:val="24"/>
          <w:u w:val="single"/>
        </w:rPr>
        <w:t>KNOWN AND UNKNOWN CLAIMS</w:t>
      </w:r>
      <w:r>
        <w:rPr>
          <w:rFonts w:ascii="sans-serif" w:hAnsi="sans-serif"/>
          <w:b w:val="false"/>
          <w:color w:val="000000"/>
          <w:sz w:val="24"/>
        </w:rPr>
        <w:t>. PARTICIPANT UNDERSTANDS THAT THIS GENERAL RELEASE WAIVES AND RELEASES ALL CLAIMS, WHETHER KNOWN OR UNKNOWN, BASED ON FACTS OR OMISSIONS OCCURRING ON OR BEFORE THE DATE THAT PARTICIPANT SIGNS THIS GENERAL RELEASE, EVEN IF PARTICIPANT DOES NOT HAVE KNOWLEDGE OF THOSE FACTS OR OMISSIONS AT THE TIME PARTICIPANT SIGNS THIS GENERAL RELEASE. Participant acknowledges that Participant may later discover claims or facts in addition to or different from those which Participant now knows or believes to exist with regards to the subject matter of this General Release, and which if known or suspected at the time of executing this General Release, may have materially affected its terms. Nevertheless, Participant waives any and all claims that might arise as a result of such different or additional claims or facts.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sans-serif" w:hAnsi="sans-serif"/>
          <w:b w:val="false"/>
          <w:color w:val="000000"/>
          <w:sz w:val="24"/>
        </w:rPr>
        <w:t xml:space="preserve">(f) </w:t>
      </w:r>
      <w:r>
        <w:rPr>
          <w:rFonts w:ascii="sans-serif" w:hAnsi="sans-serif"/>
          <w:b w:val="false"/>
          <w:color w:val="000000"/>
          <w:sz w:val="24"/>
          <w:u w:val="single"/>
        </w:rPr>
        <w:t>Protected Rights and Disclosures</w:t>
      </w:r>
      <w:r>
        <w:rPr>
          <w:rFonts w:ascii="sans-serif" w:hAnsi="sans-serif"/>
          <w:b w:val="false"/>
          <w:color w:val="000000"/>
          <w:sz w:val="24"/>
        </w:rPr>
        <w:t>. Further, nothing in this General Release prevents Participant from filing any non-legally waivable claim, including a challenge to the validity of this General Release, with the Equal Employment Opportunity Commission, the Securities and Exchange Commission, or other federal, state or local governmental agency or commission (collectively “</w:t>
      </w:r>
      <w:r>
        <w:rPr>
          <w:rFonts w:ascii="sans-serif" w:hAnsi="sans-serif"/>
          <w:b w:val="false"/>
          <w:color w:val="000000"/>
          <w:sz w:val="24"/>
          <w:u w:val="single"/>
        </w:rPr>
        <w:t>Governmental Agencies</w:t>
      </w:r>
      <w:r>
        <w:rPr>
          <w:color w:val="000000"/>
        </w:rPr>
        <w:t>”</w:t>
      </w:r>
      <w:r>
        <w:rPr>
          <w:rFonts w:ascii="sans-serif" w:hAnsi="sans-serif"/>
          <w:b w:val="false"/>
          <w:color w:val="000000"/>
          <w:sz w:val="24"/>
        </w:rPr>
        <w:t>) or participating in (or cooperating with) any investigation or proceeding conducted by any Governmental Agency; however, Participant understands and agrees that, to the extent permitted by law, Participant is waiving any and all rights to recover any monetary or personal relief or recovery from the Released Parties as a result of such Governmental Agency proceeding or subsequent legal actions. Nothing herein waives (and the Released Claims shall not include) Participant’s right to receive an award for information provided to a Governmental Agency (including, for the avoidance of doubt, any monetary award or bounty from any governmental agency or regulatory or law enforcement authority in connection with any protected “whistleblower” activity), and nothing herein or in any other agreement between Participant and any Released Party shall prohibit or restrict Participant from (i) initiating communications directly with, cooperating with, providing information or making statements to, causing information to be provided to, or otherwise assisting in an investigation by, any Governmental Agency; (ii) responding to any inquiry or legal process directed to Participant from any Governmental Agency; (iii) testifying, participating or otherwise assisting in any action or proceeding by any Governmental Agency; (iv) making any disclosures that are protected under the whistleblower provisions of any applicable law; or (v) disclosing or discussing sexual harassment or sexual assault disputes, or any other unlawful or unsafe Company conduct or practices. Nothing in this General Release requires Participant to obtain prior authorization before engaging in any conduct described in the previous sentence or to notify any Released Party that Participant engaged in any such conduct.</w:t>
      </w:r>
      <w:r>
        <w:rPr>
          <w:color w:val="000000"/>
        </w:rPr>
        <w:t xml:space="preserve">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A-3</w:t>
                      </w:r>
                    </w:p>
                  </w:txbxContent>
                </v:textbox>
                <w10:wrap type="none"/>
              </v:rect>
            </w:pict>
          </mc:Fallback>
        </mc:AlternateContent>
      </w:r>
    </w:p>
    <w:p>
      <w:pPr>
        <w:pStyle w:val="TextBody"/>
        <w:bidi w:val="0"/>
        <w:spacing w:lineRule="auto" w:line="288" w:before="0" w:after="0"/>
        <w:ind w:left="0" w:right="0" w:firstLine="360"/>
        <w:jc w:val="both"/>
        <w:rPr/>
      </w:pPr>
      <w:r>
        <w:rPr>
          <w:rFonts w:ascii="sans-serif" w:hAnsi="sans-serif"/>
          <w:b w:val="false"/>
          <w:color w:val="000000"/>
          <w:sz w:val="22"/>
        </w:rPr>
        <w:t>2.</w:t>
      </w:r>
      <w:r>
        <w:rPr>
          <w:rFonts w:ascii="sans-serif" w:hAnsi="sans-serif"/>
          <w:b w:val="false"/>
          <w:color w:val="000000"/>
          <w:sz w:val="24"/>
          <w:u w:val="single"/>
        </w:rPr>
        <w:t>Acceptance of this General Release; Consideration Period for Waiver of ADEA Rights</w:t>
      </w:r>
      <w:r>
        <w:rPr>
          <w:rFonts w:ascii="sans-serif" w:hAnsi="sans-serif"/>
          <w:b w:val="false"/>
          <w:color w:val="000000"/>
          <w:sz w:val="24"/>
        </w:rPr>
        <w:t>. Participant understands that Participant may take 21 calendar days from the date this General Release is presented to Participant to consider whether to sign and accept this General Release, subject to the additional terms and conditions in Section 4 below. For Participant’s acceptance to be effective, Participant shall return Participant’s signed General Release to the Company so that it is received by the Company at 100 W Airport Road, Stillwater, Oklahoma 74075, Attn: Chief Legal Officer, Email: Valerie.jacob@usare.com. By signing this General Release, Participant acknowledges and agrees that Participant has been advised of and understands the following: (a) Participant has carefully read and fully understands all terms and conditions of this General Release; (b) Participant is receiving valid consideration for this General Release that is in addition to anything of value to which Participant is already entitled; (c) this General Release does not waive rights or claims that may arise after it is executed; (d) by signing this General Release, Participant is waiving and releasing rights and claims under the ADEA (as amended by the OWBPA); (e) Participant has been given the opportunity to consult with an attorney of Participant’s choice before signing this General Release; (f) Participant will be provided 21 calendar days following Participant’s receipt of this General Release to consider this General Release before accepting it (the “</w:t>
      </w:r>
      <w:r>
        <w:rPr>
          <w:rFonts w:ascii="sans-serif" w:hAnsi="sans-serif"/>
          <w:b w:val="false"/>
          <w:color w:val="000000"/>
          <w:sz w:val="24"/>
          <w:u w:val="single"/>
        </w:rPr>
        <w:t>Consideration Period</w:t>
      </w:r>
      <w:r>
        <w:rPr>
          <w:color w:val="000000"/>
        </w:rPr>
        <w:t>”</w:t>
      </w:r>
      <w:r>
        <w:rPr>
          <w:rFonts w:ascii="sans-serif" w:hAnsi="sans-serif"/>
          <w:b w:val="false"/>
          <w:color w:val="000000"/>
          <w:sz w:val="24"/>
        </w:rPr>
        <w:t>), or Participant has freely and knowingly waived the right to consider this General Release for the full Consideration Period by executing the General Release before the expiration of the Consideration Period. Changes to this General Release, whether material or immaterial, do not restart the Consideration Period.</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3.</w:t>
      </w:r>
      <w:r>
        <w:rPr>
          <w:rFonts w:ascii="sans-serif" w:hAnsi="sans-serif"/>
          <w:b w:val="false"/>
          <w:color w:val="000000"/>
          <w:sz w:val="24"/>
          <w:u w:val="single"/>
        </w:rPr>
        <w:t>No Admission of Wrongdoing</w:t>
      </w:r>
      <w:r>
        <w:rPr>
          <w:rFonts w:ascii="sans-serif" w:hAnsi="sans-serif"/>
          <w:b w:val="false"/>
          <w:color w:val="000000"/>
          <w:sz w:val="24"/>
        </w:rPr>
        <w:t>. Participant acknowledges that neither this General Release, nor the furnishing of the consideration for this General Release, shall be deemed or construed at any time to be an admission by any Released Party of any improper or unlawful conduct.</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4.</w:t>
      </w:r>
      <w:r>
        <w:rPr>
          <w:rFonts w:ascii="sans-serif" w:hAnsi="sans-serif"/>
          <w:b w:val="false"/>
          <w:color w:val="000000"/>
          <w:sz w:val="24"/>
          <w:u w:val="single"/>
        </w:rPr>
        <w:t>Effectiveness and Revocation of this General Release</w:t>
      </w:r>
      <w:r>
        <w:rPr>
          <w:rFonts w:ascii="sans-serif" w:hAnsi="sans-serif"/>
          <w:b w:val="false"/>
          <w:color w:val="000000"/>
          <w:sz w:val="24"/>
        </w:rPr>
        <w:t>. Participant shall have an additional seven calendar days after signing and agreeing this General Release to revoke it (the “</w:t>
      </w:r>
      <w:r>
        <w:rPr>
          <w:rFonts w:ascii="sans-serif" w:hAnsi="sans-serif"/>
          <w:b w:val="false"/>
          <w:color w:val="000000"/>
          <w:sz w:val="24"/>
          <w:u w:val="single"/>
        </w:rPr>
        <w:t>Revocation Period</w:t>
      </w:r>
      <w:r>
        <w:rPr>
          <w:color w:val="000000"/>
        </w:rPr>
        <w:t>”</w:t>
      </w:r>
      <w:r>
        <w:rPr>
          <w:rFonts w:ascii="sans-serif" w:hAnsi="sans-serif"/>
          <w:b w:val="false"/>
          <w:color w:val="000000"/>
          <w:sz w:val="24"/>
        </w:rPr>
        <w:t>). Participant may revoke Participant’s acceptance of this General Release by delivering a written statement during the Revocation Period to the Company’s Chief Legal Officer and Head of Human Resources, Email: legal@usare.com and hr@usarare.com, which clearly and unequivocally states that Participant is revoking Participant’s acceptance of this General Release and does not want to be bound by it. This General Release shall not become effective until 12:01 AM Central Standard Time on the eighth calendar day after the date on which Participant executes (and does not revoke) this General Release. If a notice of revocation is not received prior to the expiration of the Revocation Period, this General Release will take effect and will become irrevocable and binding.</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5.</w:t>
      </w:r>
      <w:r>
        <w:rPr>
          <w:rFonts w:ascii="sans-serif" w:hAnsi="sans-serif"/>
          <w:b w:val="false"/>
          <w:color w:val="000000"/>
          <w:sz w:val="24"/>
          <w:u w:val="single"/>
        </w:rPr>
        <w:t>Participant Acknowledgments; Advice to Consult with Legal Counsel</w:t>
      </w:r>
      <w:r>
        <w:rPr>
          <w:rFonts w:ascii="sans-serif" w:hAnsi="sans-serif"/>
          <w:b w:val="false"/>
          <w:i/>
          <w:color w:val="000000"/>
          <w:sz w:val="24"/>
        </w:rPr>
        <w:t>. This is an important legal document. Participant is advised to consult with legal counsel of Participant’s choosing before signing this General Release.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A-4</w:t>
                      </w:r>
                    </w:p>
                  </w:txbxContent>
                </v:textbox>
                <w10:wrap type="none"/>
              </v:rect>
            </w:pict>
          </mc:Fallback>
        </mc:AlternateContent>
      </w:r>
    </w:p>
    <w:p>
      <w:pPr>
        <w:pStyle w:val="TextBody"/>
        <w:bidi w:val="0"/>
        <w:spacing w:lineRule="auto" w:line="288" w:before="0" w:after="0"/>
        <w:ind w:left="0" w:right="0" w:firstLine="720"/>
        <w:jc w:val="both"/>
        <w:rPr>
          <w:rFonts w:ascii="sans-serif" w:hAnsi="sans-serif"/>
          <w:b w:val="false"/>
          <w:color w:val="000000"/>
          <w:sz w:val="24"/>
        </w:rPr>
      </w:pPr>
      <w:r>
        <w:rPr>
          <w:rFonts w:ascii="sans-serif" w:hAnsi="sans-serif"/>
          <w:b w:val="false"/>
          <w:color w:val="000000"/>
          <w:sz w:val="24"/>
        </w:rPr>
        <w:t>(a) Participant acknowledges that Participant’s entry into this General Release (and non-revocation thereof) is a condition to Participant’s receipt of the consideration set forth in Section 2 of the Separation Agreement, and that, in the absence of timely executing, returning, and not revoking this General Release and complying with its terms, Participant would not be entitled to receive such consideration (or any portion thereof).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sans-serif" w:hAnsi="sans-serif"/>
          <w:b w:val="false"/>
          <w:color w:val="000000"/>
          <w:sz w:val="24"/>
        </w:rPr>
      </w:pPr>
      <w:r>
        <w:rPr>
          <w:rFonts w:ascii="sans-serif" w:hAnsi="sans-serif"/>
          <w:b w:val="false"/>
          <w:color w:val="000000"/>
          <w:sz w:val="24"/>
        </w:rPr>
        <w:t>(b) In entering into this General Release, Participant fully understands its binding effect of this General Release; the only promises made to Participant to sign this General Release are those stated in this General Release and the Plan; Participant is signing this General Release knowingly, voluntarily and of Participant’s own free will; Participant relies on Participant’s own judgment in entering into this General Release and Participant has not relied on any representation or statement, written or oral, of any Released Party or Released Party’s agent that is not set forth in this General Release or the Plan; and Participant understands and agrees to each of the terms of this General Release.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sans-serif" w:hAnsi="sans-serif"/>
          <w:b w:val="false"/>
          <w:color w:val="000000"/>
          <w:sz w:val="24"/>
        </w:rPr>
      </w:pPr>
      <w:r>
        <w:rPr>
          <w:rFonts w:ascii="sans-serif" w:hAnsi="sans-serif"/>
          <w:b w:val="false"/>
          <w:color w:val="000000"/>
          <w:sz w:val="24"/>
        </w:rPr>
        <w:t>(c) This General Release and the releases and covenants contained herein shall be binding upon Participant, Participant’s heirs, executors, administrators, beneficiaries, trustees, successors, assigns, agents, and anyone purporting to claim through or on behalf of Participant. This General Release and the releases and covenants contained herein shall inure to the benefit of all Released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sans-serif" w:hAnsi="sans-serif"/>
          <w:b w:val="false"/>
          <w:color w:val="000000"/>
          <w:sz w:val="24"/>
        </w:rPr>
      </w:pPr>
      <w:r>
        <w:rPr>
          <w:rFonts w:ascii="sans-serif" w:hAnsi="sans-serif"/>
          <w:b w:val="false"/>
          <w:color w:val="000000"/>
          <w:sz w:val="24"/>
        </w:rPr>
        <w:t xml:space="preserve">(d) Participant does not have and has not previously raised a claim of unlawful discrimination; retaliation; harassment; sexual harassment, abuse, assault, alleged criminal conduct, or other alleged unlawful employment practices or unlawful conduct against the Company or any of the Released Parties. </w:t>
      </w:r>
    </w:p>
    <w:p>
      <w:pPr>
        <w:pStyle w:val="TextBody"/>
        <w:bidi w:val="0"/>
        <w:spacing w:lineRule="auto" w:line="288" w:before="0" w:after="0"/>
        <w:ind w:left="0" w:right="0" w:firstLine="720"/>
        <w:jc w:val="both"/>
        <w:rPr>
          <w:rFonts w:ascii="sans-serif" w:hAnsi="sans-serif"/>
          <w:b w:val="false"/>
          <w:color w:val="000000"/>
          <w:sz w:val="24"/>
        </w:rPr>
      </w:pPr>
      <w:r>
        <w:rPr>
          <w:rFonts w:ascii="sans-serif" w:hAnsi="sans-serif"/>
          <w:b w:val="false"/>
          <w:color w:val="000000"/>
          <w:sz w:val="24"/>
        </w:rPr>
        <w:t>(e) Participant has reported to the Company any and all work-related injuries or occupational illnesses incurred by Participant during Participant’s employment with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sans-serif" w:hAnsi="sans-serif"/>
          <w:b w:val="false"/>
          <w:color w:val="000000"/>
          <w:sz w:val="24"/>
        </w:rPr>
      </w:pPr>
      <w:r>
        <w:rPr>
          <w:rFonts w:ascii="sans-serif" w:hAnsi="sans-serif"/>
          <w:b w:val="false"/>
          <w:color w:val="000000"/>
          <w:sz w:val="24"/>
        </w:rPr>
        <w:t xml:space="preserve">(f) The Company properly provided any leave of absence because of Participant or Participant’s family member’s health condition or military service and Participant has not been subjected to any improper treatment, conduct or actions due to a request for or taking such leave.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sans-serif" w:hAnsi="sans-serif"/>
          <w:b w:val="false"/>
          <w:color w:val="000000"/>
          <w:sz w:val="24"/>
        </w:rPr>
      </w:pPr>
      <w:r>
        <w:rPr>
          <w:rFonts w:ascii="sans-serif" w:hAnsi="sans-serif"/>
          <w:b w:val="false"/>
          <w:color w:val="000000"/>
          <w:sz w:val="24"/>
        </w:rPr>
        <w:t xml:space="preserve">(g) Participant has not engaged in any unlawful conduct related to the business of the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sans-serif" w:hAnsi="sans-serif"/>
          <w:b w:val="false"/>
          <w:color w:val="000000"/>
          <w:sz w:val="24"/>
        </w:rPr>
      </w:pPr>
      <w:r>
        <w:rPr>
          <w:rFonts w:ascii="sans-serif" w:hAnsi="sans-serif"/>
          <w:b w:val="false"/>
          <w:color w:val="000000"/>
          <w:sz w:val="24"/>
        </w:rPr>
        <w:t>(h) Participant has had the opportunity to provide the Company with written notice of any and all concerns regarding suspected ethical and compliance issues or violations on part of the Company</w:t>
      </w:r>
    </w:p>
    <w:p>
      <w:pPr>
        <w:pStyle w:val="TextBody"/>
        <w:bidi w:val="0"/>
        <w:spacing w:lineRule="auto" w:line="288"/>
        <w:ind w:left="0" w:right="0" w:firstLine="720"/>
        <w:jc w:val="both"/>
        <w:rPr>
          <w:rFonts w:ascii="sans-serif" w:hAnsi="sans-serif"/>
          <w:b w:val="false"/>
          <w:color w:val="000000"/>
          <w:sz w:val="24"/>
        </w:rPr>
      </w:pPr>
      <w:r>
        <w:rPr>
          <w:rFonts w:ascii="sans-serif" w:hAnsi="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A-5</w:t>
                      </w:r>
                    </w:p>
                  </w:txbxContent>
                </v:textbox>
                <w10:wrap type="none"/>
              </v:rect>
            </w:pict>
          </mc:Fallback>
        </mc:AlternateContent>
      </w:r>
    </w:p>
    <w:p>
      <w:pPr>
        <w:pStyle w:val="TextBody"/>
        <w:bidi w:val="0"/>
        <w:spacing w:lineRule="auto" w:line="288" w:before="0" w:after="0"/>
        <w:ind w:left="0" w:right="0" w:firstLine="720"/>
        <w:jc w:val="both"/>
        <w:rPr>
          <w:rFonts w:ascii="sans-serif" w:hAnsi="sans-serif"/>
          <w:b w:val="false"/>
          <w:color w:val="000000"/>
          <w:sz w:val="24"/>
        </w:rPr>
      </w:pPr>
      <w:r>
        <w:rPr>
          <w:rFonts w:ascii="sans-serif" w:hAnsi="sans-serif"/>
          <w:b w:val="false"/>
          <w:color w:val="000000"/>
          <w:sz w:val="24"/>
        </w:rPr>
        <w:t>(i) There has been no assignment or other transfer of any interest in any claim that Participant may have against the Released Parties, or any of them, and Participant agrees to indemnify and hold the Released Parties, and each of them, harmless from any liability, claims, demands, damages, costs, expenses and attorneys’ fees incurred by the Released Parties, or any of them, as the result of any such assignment or transfer or any rights or claims under any such assignment or transfer. This indemnity does not require payment as a condition precedent to recovery by the Released Parties against Participant under this indemnity.</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sans-serif" w:hAnsi="sans-serif"/>
          <w:b w:val="false"/>
          <w:color w:val="000000"/>
          <w:sz w:val="22"/>
        </w:rPr>
        <w:t>6.</w:t>
      </w:r>
      <w:r>
        <w:rPr>
          <w:rFonts w:ascii="sans-serif" w:hAnsi="sans-serif"/>
          <w:b w:val="false"/>
          <w:color w:val="000000"/>
          <w:sz w:val="24"/>
          <w:u w:val="single"/>
        </w:rPr>
        <w:t>Governing Law and Forum Selection</w:t>
      </w:r>
      <w:r>
        <w:rPr>
          <w:rFonts w:ascii="sans-serif" w:hAnsi="sans-serif"/>
          <w:b w:val="false"/>
          <w:color w:val="000000"/>
          <w:sz w:val="24"/>
        </w:rPr>
        <w:t>. The parties agree that this General Release shall be governed by and construed in accordance with the laws of the State of Delaware, without reference to its conflict or choice of laws principles. The parties further agree that the exclusive forum for resolution of any dispute arising out of or in connection with this General Release, Participant’s employment with the Company, and/or the separation of Participant’s employment from the Company will be in a state or federal court of appropriate jurisdiction in Delaware.</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7.</w:t>
      </w:r>
      <w:r>
        <w:rPr>
          <w:rFonts w:ascii="sans-serif" w:hAnsi="sans-serif"/>
          <w:b w:val="false"/>
          <w:color w:val="000000"/>
          <w:sz w:val="24"/>
          <w:u w:val="single"/>
        </w:rPr>
        <w:t>Counterparts</w:t>
      </w:r>
      <w:r>
        <w:rPr>
          <w:rFonts w:ascii="sans-serif" w:hAnsi="sans-serif"/>
          <w:b w:val="false"/>
          <w:color w:val="000000"/>
          <w:sz w:val="24"/>
        </w:rPr>
        <w:t>. This General Release may be executed in one or more counterparts (including portable document format (.pdf) counterparts), each of which shall be deemed to be an original, but all of which together will constitute one and the same General Release.</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8.</w:t>
      </w:r>
      <w:r>
        <w:rPr>
          <w:rFonts w:ascii="sans-serif" w:hAnsi="sans-serif"/>
          <w:b w:val="false"/>
          <w:color w:val="000000"/>
          <w:sz w:val="24"/>
          <w:u w:val="single"/>
        </w:rPr>
        <w:t>Severability</w:t>
      </w:r>
      <w:r>
        <w:rPr>
          <w:rFonts w:ascii="sans-serif" w:hAnsi="sans-serif"/>
          <w:b w:val="false"/>
          <w:color w:val="000000"/>
          <w:sz w:val="24"/>
        </w:rPr>
        <w:t>. To the extent permitted by applicable law, the Company and Participant hereby agree that any term or provision of this General Release that renders such term or provision or any other term or provision hereof invalid or unenforceable in any respect shall be severable and shall be modified or severed to the extent necessary to avoid rendering such term or provision invalid or unenforceable, and such modification or severance shall be accomplished in the manner that most nearly preserves the benefit of the parties’ bargain hereunder.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A-6</w:t>
                      </w:r>
                    </w:p>
                  </w:txbxContent>
                </v:textbox>
                <w10:wrap type="none"/>
              </v:rect>
            </w:pict>
          </mc:Fallback>
        </mc:AlternateContent>
      </w:r>
    </w:p>
    <w:p>
      <w:pPr>
        <w:pStyle w:val="TextBody"/>
        <w:bidi w:val="0"/>
        <w:spacing w:lineRule="auto" w:line="288" w:before="0" w:after="0"/>
        <w:ind w:left="0" w:right="0" w:firstLine="360"/>
        <w:jc w:val="both"/>
        <w:rPr/>
      </w:pPr>
      <w:r>
        <w:rPr>
          <w:rFonts w:ascii="sans-serif" w:hAnsi="sans-serif"/>
          <w:b w:val="false"/>
          <w:color w:val="000000"/>
          <w:sz w:val="22"/>
        </w:rPr>
        <w:t>9.</w:t>
      </w:r>
      <w:r>
        <w:rPr>
          <w:rFonts w:ascii="sans-serif" w:hAnsi="sans-serif"/>
          <w:b w:val="false"/>
          <w:color w:val="000000"/>
          <w:sz w:val="24"/>
          <w:u w:val="single"/>
        </w:rPr>
        <w:t>Headings; References; Interpretations</w:t>
      </w:r>
      <w:r>
        <w:rPr>
          <w:rFonts w:ascii="sans-serif" w:hAnsi="sans-serif"/>
          <w:b w:val="false"/>
          <w:color w:val="000000"/>
          <w:sz w:val="24"/>
        </w:rPr>
        <w:t>. Section headings have been inserted for purposes of convenience and shall not be used for interpretive purposes. The words “hereof,” “herein” and “hereunder” and other compounds of the word “here” shall refer to the entire General Release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All references herein to a law, agreement, instrument or other document shall be deemed to refer to such law, agreement, instrument or other document as amended, supplemented, modified and restated from time to time to the extent permitted by the provisions thereof. Neither this General Release nor any uncertainty or ambiguity herein shall be construed against any party, whether under any rule of construction or otherwise. This General Release has been reviewed by each of the parties and shall be construed and interpreted according to the ordinary meaning of the words used so as to fairly accomplish the purposes and intentions of the parties.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sans-serif" w:hAnsi="sans-serif"/>
          <w:b w:val="false"/>
          <w:color w:val="000000"/>
          <w:sz w:val="22"/>
        </w:rPr>
        <w:t>10.</w:t>
      </w:r>
      <w:r>
        <w:rPr>
          <w:rFonts w:ascii="sans-serif" w:hAnsi="sans-serif"/>
          <w:b w:val="false"/>
          <w:color w:val="000000"/>
          <w:sz w:val="24"/>
          <w:u w:val="single"/>
        </w:rPr>
        <w:t>Entire Agreement</w:t>
      </w:r>
      <w:r>
        <w:rPr>
          <w:rFonts w:ascii="sans-serif" w:hAnsi="sans-serif"/>
          <w:b w:val="false"/>
          <w:color w:val="000000"/>
          <w:sz w:val="24"/>
        </w:rPr>
        <w:t>. This General Release, which incorporates the Plan, together with the Separation Agreement, is the complete understanding between Participant and the Company regarding the subject matter hereof. It replaces any other agreements, representations or promises, written or oral.</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 xml:space="preserve">[Remainder of Page Intentionally Left Blank] </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A-7</w:t>
                      </w:r>
                    </w:p>
                  </w:txbxContent>
                </v:textbox>
                <w10:wrap type="none"/>
              </v:rect>
            </w:pict>
          </mc:Fallback>
        </mc:AlternateContent>
      </w:r>
    </w:p>
    <w:p>
      <w:pPr>
        <w:pStyle w:val="TextBody"/>
        <w:bidi w:val="0"/>
        <w:spacing w:lineRule="auto" w:line="288" w:before="0" w:after="0"/>
        <w:ind w:left="0" w:right="0" w:firstLine="360"/>
        <w:jc w:val="both"/>
        <w:rPr/>
      </w:pPr>
      <w:r>
        <w:rPr>
          <w:rFonts w:ascii="sans-serif" w:hAnsi="sans-serif"/>
          <w:b/>
          <w:color w:val="000000"/>
          <w:sz w:val="24"/>
        </w:rPr>
        <w:t>IN WITNESS WHEREOF</w:t>
      </w:r>
      <w:r>
        <w:rPr>
          <w:rFonts w:ascii="sans-serif" w:hAnsi="sans-serif"/>
          <w:b w:val="false"/>
          <w:color w:val="000000"/>
          <w:sz w:val="24"/>
        </w:rPr>
        <w:t>, the parties hereto have executed this General Release with the intent to be legally bound.</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88" w:before="0" w:after="0"/>
        <w:ind w:left="0" w:right="0" w:firstLine="4320"/>
        <w:jc w:val="left"/>
        <w:rPr>
          <w:rFonts w:ascii="sans-serif" w:hAnsi="sans-serif"/>
          <w:b/>
          <w:color w:val="000000"/>
          <w:sz w:val="24"/>
        </w:rPr>
      </w:pPr>
      <w:r>
        <w:rPr>
          <w:rFonts w:ascii="sans-serif" w:hAnsi="sans-serif"/>
          <w:b/>
          <w:color w:val="000000"/>
          <w:sz w:val="24"/>
        </w:rPr>
        <w:t>Accepted by:</w:t>
      </w:r>
    </w:p>
    <w:p>
      <w:pPr>
        <w:pStyle w:val="TextBody"/>
        <w:bidi w:val="0"/>
        <w:spacing w:lineRule="auto" w:line="288" w:before="0" w:after="0"/>
        <w:ind w:left="0" w:right="0" w:firstLine="4320"/>
        <w:jc w:val="left"/>
        <w:rPr>
          <w:rFonts w:ascii="sans-serif" w:hAnsi="sans-serif"/>
          <w:b/>
          <w:color w:val="000000"/>
          <w:sz w:val="24"/>
        </w:rPr>
      </w:pPr>
      <w:r>
        <w:rPr>
          <w:rFonts w:ascii="sans-serif" w:hAnsi="sans-serif"/>
          <w:b/>
          <w:color w:val="000000"/>
          <w:sz w:val="24"/>
        </w:rPr>
        <w:t>USA RARE EARTH, INC.</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By:</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______________________________</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 xml:space="preserve">Name: </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Title:</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Date:</w:t>
      </w:r>
    </w:p>
    <w:p>
      <w:pPr>
        <w:pStyle w:val="TextBody"/>
        <w:bidi w:val="0"/>
        <w:spacing w:before="0" w:after="0"/>
        <w:jc w:val="left"/>
        <w:rPr/>
      </w:pPr>
      <w:r>
        <w:rPr/>
      </w:r>
    </w:p>
    <w:p>
      <w:pPr>
        <w:pStyle w:val="TextBody"/>
        <w:bidi w:val="0"/>
        <w:spacing w:lineRule="auto" w:line="288" w:before="0" w:after="0"/>
        <w:ind w:left="0" w:right="0" w:firstLine="4320"/>
        <w:jc w:val="left"/>
        <w:rPr>
          <w:rFonts w:ascii="sans-serif" w:hAnsi="sans-serif"/>
          <w:b/>
          <w:color w:val="000000"/>
          <w:sz w:val="24"/>
        </w:rPr>
      </w:pPr>
      <w:r>
        <w:rPr>
          <w:rFonts w:ascii="sans-serif" w:hAnsi="sans-serif"/>
          <w:b/>
          <w:color w:val="000000"/>
          <w:sz w:val="24"/>
        </w:rPr>
        <w:t>PARTICIPANT</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By:</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______________________________</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 xml:space="preserve">Name: </w:t>
      </w:r>
    </w:p>
    <w:p>
      <w:pPr>
        <w:pStyle w:val="TextBody"/>
        <w:bidi w:val="0"/>
        <w:spacing w:lineRule="auto" w:line="288" w:before="0" w:after="0"/>
        <w:ind w:left="0" w:right="0" w:firstLine="4320"/>
        <w:jc w:val="left"/>
        <w:rPr>
          <w:rFonts w:ascii="sans-serif" w:hAnsi="sans-serif"/>
          <w:b w:val="false"/>
          <w:color w:val="000000"/>
          <w:sz w:val="24"/>
        </w:rPr>
      </w:pPr>
      <w:r>
        <w:rPr>
          <w:rFonts w:ascii="sans-serif" w:hAnsi="sans-serif"/>
          <w:b w:val="false"/>
          <w:color w:val="000000"/>
          <w:sz w:val="24"/>
        </w:rPr>
        <w:t>Date:</w:t>
      </w:r>
    </w:p>
    <w:p>
      <w:pPr>
        <w:pStyle w:val="TextBody"/>
        <w:bidi w:val="0"/>
        <w:spacing w:before="0" w:after="0"/>
        <w:jc w:val="left"/>
        <w:rPr/>
      </w:pPr>
      <w:r>
        <w:rPr/>
      </w:r>
    </w:p>
    <w:p>
      <w:pPr>
        <w:pStyle w:val="TextBody"/>
        <w:bidi w:val="0"/>
        <w:spacing w:lineRule="auto" w:line="288"/>
        <w:ind w:left="0" w:right="0" w:firstLine="4320"/>
        <w:jc w:val="left"/>
        <w:rPr>
          <w:rFonts w:ascii="sans-serif" w:hAnsi="sans-serif"/>
          <w:b w:val="false"/>
          <w:i/>
          <w:color w:val="000000"/>
          <w:sz w:val="21"/>
        </w:rPr>
      </w:pPr>
      <w:r>
        <w:rPr>
          <w:rFonts w:ascii="sans-serif" w:hAnsi="sans-serif"/>
          <w:b w:val="false"/>
          <w:i/>
          <w:color w:val="000000"/>
          <w:sz w:val="21"/>
        </w:rPr>
        <w:t>Not valid if signed before the Separation 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A-8</w:t>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CERTIFICATION OF PRINCIPAL EXECUTIVE OFFICER</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PURSUANT TO EXCHANGE ACT RULE 13a-14(a) OR 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 Barbara Humpton,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USA Rare Earth, Inc. for the period ended June 30, 2026;</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4.I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pPr>
      <w:r>
        <w:rPr>
          <w:rFonts w:ascii="Arial Narrow;sans-serif" w:hAnsi="Arial Narrow;sans-serif"/>
          <w:b w:val="false"/>
          <w:color w:val="000000"/>
          <w:sz w:val="20"/>
        </w:rPr>
        <w:t>(b)</w:t>
      </w:r>
      <w:r>
        <w:rPr>
          <w:color w:val="000000"/>
        </w:rPr>
        <w:t xml:space="preserve"> </w:t>
      </w:r>
      <w:r>
        <w:rPr>
          <w:rFonts w:ascii="Arial Narrow;sans-serif" w:hAnsi="Arial Narrow;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5.I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both"/>
        <w:rPr/>
      </w:pPr>
      <w:r>
        <w:rPr/>
      </w:r>
    </w:p>
    <w:tbl>
      <w:tblPr>
        <w:tblW w:w="5001" w:type="dxa"/>
        <w:jc w:val="left"/>
        <w:tblInd w:w="0" w:type="dxa"/>
        <w:tblLayout w:type="fixed"/>
        <w:tblCellMar>
          <w:top w:w="28" w:type="dxa"/>
          <w:left w:w="28" w:type="dxa"/>
          <w:bottom w:w="28" w:type="dxa"/>
          <w:right w:w="28" w:type="dxa"/>
        </w:tblCellMar>
      </w:tblPr>
      <w:tblGrid>
        <w:gridCol w:w="168"/>
        <w:gridCol w:w="148"/>
        <w:gridCol w:w="149"/>
        <w:gridCol w:w="424"/>
        <w:gridCol w:w="424"/>
        <w:gridCol w:w="426"/>
        <w:gridCol w:w="109"/>
        <w:gridCol w:w="109"/>
        <w:gridCol w:w="109"/>
        <w:gridCol w:w="194"/>
        <w:gridCol w:w="194"/>
        <w:gridCol w:w="196"/>
        <w:gridCol w:w="659"/>
        <w:gridCol w:w="659"/>
        <w:gridCol w:w="661"/>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19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w:t>
            </w:r>
            <w:r>
              <w:rPr>
                <w:rFonts w:ascii="Arial Narrow;sans-serif" w:hAnsi="Arial Narrow;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CERTIFICATION OF PRINCIPAL FINANCIAL AND ACCOUNTING OFFICER</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PURSUANT TO EXCHANGE ACT RULE 13a-14(a) OR 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 William Robert Steele Jr.,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USA Rare Earth, Inc. for the period ended June 30, 2026;</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4.I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pPr>
      <w:r>
        <w:rPr>
          <w:rFonts w:ascii="Arial Narrow;sans-serif" w:hAnsi="Arial Narrow;sans-serif"/>
          <w:b w:val="false"/>
          <w:color w:val="000000"/>
          <w:sz w:val="20"/>
        </w:rPr>
        <w:t>(b)</w:t>
      </w:r>
      <w:r>
        <w:rPr>
          <w:color w:val="000000"/>
        </w:rPr>
        <w:t xml:space="preserve"> </w:t>
      </w:r>
      <w:r>
        <w:rPr>
          <w:rFonts w:ascii="Arial Narrow;sans-serif" w:hAnsi="Arial Narrow;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5.I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both"/>
        <w:rPr/>
      </w:pPr>
      <w:r>
        <w:rPr/>
      </w:r>
    </w:p>
    <w:tbl>
      <w:tblPr>
        <w:tblW w:w="6142" w:type="dxa"/>
        <w:jc w:val="left"/>
        <w:tblInd w:w="0" w:type="dxa"/>
        <w:tblLayout w:type="fixed"/>
        <w:tblCellMar>
          <w:top w:w="28" w:type="dxa"/>
          <w:left w:w="28" w:type="dxa"/>
          <w:bottom w:w="28" w:type="dxa"/>
          <w:right w:w="28" w:type="dxa"/>
        </w:tblCellMar>
      </w:tblPr>
      <w:tblGrid>
        <w:gridCol w:w="168"/>
        <w:gridCol w:w="148"/>
        <w:gridCol w:w="149"/>
        <w:gridCol w:w="424"/>
        <w:gridCol w:w="424"/>
        <w:gridCol w:w="426"/>
        <w:gridCol w:w="109"/>
        <w:gridCol w:w="109"/>
        <w:gridCol w:w="109"/>
        <w:gridCol w:w="194"/>
        <w:gridCol w:w="194"/>
        <w:gridCol w:w="196"/>
        <w:gridCol w:w="1039"/>
        <w:gridCol w:w="1039"/>
        <w:gridCol w:w="1042"/>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31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w:t>
            </w:r>
            <w:r>
              <w:rPr>
                <w:rFonts w:ascii="Arial Narrow;sans-serif" w:hAnsi="Arial Narrow;sans-serif"/>
                <w:b w:val="false"/>
                <w:color w:val="000000"/>
                <w:sz w:val="20"/>
              </w:rPr>
              <w:t>Principal Financial and Accounting Officer</w:t>
            </w:r>
            <w:r>
              <w:rPr>
                <w:rFonts w:ascii="Arial Narrow;sans-serif" w:hAnsi="Arial Narrow;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CERTIFICATION OF CHIEF EXECUTIVE OFFICER AND CHIEF FINANCIAL OFFICER,</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 SECTION 906 OF THE</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SARBANES-OXLEY ACT OF 2002*</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Pursuant to the requirement set forth in Rule 13a-14(b) of the Securities and Exchange Act of 1934, as amended (the “Exchange Act”), and Section 1350 of Chapter 63 of Title 18 of the United States Code, Barbara Humpton, Chief Executive Officer of USA Rare Earth, Inc., and William Robert Steele Jr., Chief Financial Officer of USA Rare Earth, Inc., each hereby certify that, to the best of his knowledge:</w:t>
      </w:r>
    </w:p>
    <w:p>
      <w:pPr>
        <w:pStyle w:val="TextBody"/>
        <w:bidi w:val="0"/>
        <w:spacing w:before="0" w:after="0"/>
        <w:jc w:val="both"/>
        <w:rPr/>
      </w:pPr>
      <w:r>
        <w:rPr/>
      </w:r>
    </w:p>
    <w:p>
      <w:pPr>
        <w:pStyle w:val="TextBody"/>
        <w:bidi w:val="0"/>
        <w:spacing w:lineRule="auto" w:line="288" w:before="0" w:after="18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1.The Company’s Quarterly Report on Form 10-Q for the period ended June 30, 2026, to which this Certification is attached as Exhibit 32.1 (the “Quarterly Report”), fully complies with the requirements of Section 13(a) or Section 15(d) of the Exchange Act, and</w:t>
      </w:r>
    </w:p>
    <w:p>
      <w:pPr>
        <w:pStyle w:val="TextBody"/>
        <w:bidi w:val="0"/>
        <w:spacing w:lineRule="auto" w:line="288"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2.The information contained in the Quarterly Report fairly presents, in all material respects, the financial condition of the Company at the end of the period covered by the Quarterly Report and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WITNESS WHEREOF, the undersigned has set his hand hereto:</w:t>
      </w:r>
    </w:p>
    <w:p>
      <w:pPr>
        <w:pStyle w:val="TextBody"/>
        <w:bidi w:val="0"/>
        <w:spacing w:before="0" w:after="120"/>
        <w:jc w:val="both"/>
        <w:rPr/>
      </w:pPr>
      <w:r>
        <w:rPr/>
      </w:r>
    </w:p>
    <w:tbl>
      <w:tblPr>
        <w:tblW w:w="6217" w:type="dxa"/>
        <w:jc w:val="left"/>
        <w:tblInd w:w="0" w:type="dxa"/>
        <w:tblLayout w:type="fixed"/>
        <w:tblCellMar>
          <w:top w:w="28" w:type="dxa"/>
          <w:left w:w="28" w:type="dxa"/>
          <w:bottom w:w="28" w:type="dxa"/>
          <w:right w:w="28" w:type="dxa"/>
        </w:tblCellMar>
      </w:tblPr>
      <w:tblGrid>
        <w:gridCol w:w="184"/>
        <w:gridCol w:w="162"/>
        <w:gridCol w:w="164"/>
        <w:gridCol w:w="424"/>
        <w:gridCol w:w="424"/>
        <w:gridCol w:w="426"/>
        <w:gridCol w:w="109"/>
        <w:gridCol w:w="109"/>
        <w:gridCol w:w="109"/>
        <w:gridCol w:w="194"/>
        <w:gridCol w:w="194"/>
        <w:gridCol w:w="196"/>
        <w:gridCol w:w="1049"/>
        <w:gridCol w:w="1049"/>
        <w:gridCol w:w="1052"/>
        <w:gridCol w:w="109"/>
        <w:gridCol w:w="109"/>
        <w:gridCol w:w="154"/>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Barbara Humpton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w:t>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William Robert Steele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    This certification accompanies the Form 10-Q to which it relates, is not deemed filed with the Securities and Exchange Commission and is not to be incorporated by reference into any filing of USA Rare Earth,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970622/000197062226000021/usar-20251231.htm" TargetMode="External"/><Relationship Id="rId4" Type="http://schemas.openxmlformats.org/officeDocument/2006/relationships/hyperlink" Target="https://www.sec.gov/ix?doc=/Archives/edgar/data/1970622/000197062226000021/usar-20251231.htm" TargetMode="External"/><Relationship Id="rId5" Type="http://schemas.openxmlformats.org/officeDocument/2006/relationships/hyperlink" Target="https://www.sec.gov/Archives/edgar/data/1970622/000121390026055511/ea029029301ex99-1.htm" TargetMode="External"/><Relationship Id="rId6" Type="http://schemas.openxmlformats.org/officeDocument/2006/relationships/hyperlink" Target="https://www.sec.gov/Archives/edgar/data/1970622/000121390026055511/ea029029301ex99-1.htm" TargetMode="External"/><Relationship Id="rId7" Type="http://schemas.openxmlformats.org/officeDocument/2006/relationships/hyperlink" Target="https://www.sec.gov/Archives/edgar/data/1970622/000121390026055511/ea029029301ex99-1.htm" TargetMode="External"/><Relationship Id="rId8" Type="http://schemas.openxmlformats.org/officeDocument/2006/relationships/hyperlink" Target="https://www.sec.gov/Archives/edgar/data/1970622/000121390026055511/ea029029301ex99-1.htm" TargetMode="External"/><Relationship Id="rId9" Type="http://schemas.openxmlformats.org/officeDocument/2006/relationships/hyperlink" Target="https://www.sec.gov/Archives/edgar/data/1970622/000121390026055511/ea029029301ex99-1.htm" TargetMode="External"/><Relationship Id="rId10" Type="http://schemas.openxmlformats.org/officeDocument/2006/relationships/hyperlink" Target="https://www.sec.gov/Archives/edgar/data/1970622/000121390026055511/ea029029301ex99-1.htm" TargetMode="External"/><Relationship Id="rId11" Type="http://schemas.openxmlformats.org/officeDocument/2006/relationships/hyperlink" Target="https://www.sec.gov/Archives/edgar/data/1970622/000121390026055511/ea029029301ex99-1.htm" TargetMode="External"/><Relationship Id="rId12" Type="http://schemas.openxmlformats.org/officeDocument/2006/relationships/hyperlink" Target="https://www.sec.gov/ix?doc=/Archives/edgar/data/1970622/000197062226000021/usar-20251231.htm" TargetMode="External"/><Relationship Id="rId13" Type="http://schemas.openxmlformats.org/officeDocument/2006/relationships/hyperlink" Target="https://www.sec.gov/ix?doc=/Archives/edgar/data/1970622/000197062226000021/usar-20251231.htm" TargetMode="External"/><Relationship Id="rId14" Type="http://schemas.openxmlformats.org/officeDocument/2006/relationships/hyperlink" Target="https://www.sec.gov/Archives/edgar/data/1970622/000197062226000009/usar-20260128.htm" TargetMode="External"/><Relationship Id="rId15" Type="http://schemas.openxmlformats.org/officeDocument/2006/relationships/hyperlink" Target="https://www.sec.gov/Archives/edgar/data/1970622/000197062226000009/usar-20260128.htm" TargetMode="External"/><Relationship Id="rId16" Type="http://schemas.openxmlformats.org/officeDocument/2006/relationships/hyperlink" Target="https://www.sec.gov/Archives/edgar/data/1970622/000197062226000009/usar-20260128.htm" TargetMode="External"/><Relationship Id="rId17" Type="http://schemas.openxmlformats.org/officeDocument/2006/relationships/hyperlink" Target="https://www.sec.gov/Archives/edgar/data/1970622/000197062226000009/usar-20260128.htm" TargetMode="External"/><Relationship Id="rId18" Type="http://schemas.openxmlformats.org/officeDocument/2006/relationships/hyperlink" Target="https://www.sec.gov/Archives/edgar/data/1970622/000197062226000009/usar-20260128.htm" TargetMode="External"/><Relationship Id="rId19" Type="http://schemas.openxmlformats.org/officeDocument/2006/relationships/hyperlink" Target="https://www.sec.gov/Archives/edgar/data/1970622/000121390026078760/ea029675201ex2-1.htm" TargetMode="External"/><Relationship Id="rId20" Type="http://schemas.openxmlformats.org/officeDocument/2006/relationships/hyperlink" Target="https://www.sec.gov/Archives/edgar/data/1970622/000121390026078760/ea029675201ex2-1.htm" TargetMode="External"/><Relationship Id="rId21" Type="http://schemas.openxmlformats.org/officeDocument/2006/relationships/hyperlink" Target="https://www.sec.gov/Archives/edgar/data/1970622/000121390026063832/ea029312701ex10-1.htm" TargetMode="External"/><Relationship Id="rId22" Type="http://schemas.openxmlformats.org/officeDocument/2006/relationships/hyperlink" Target="https://www.sec.gov/Archives/edgar/data/1970622/000121390026063832/ea029312701ex10-1.htm" TargetMode="External"/><Relationship Id="rId23" Type="http://schemas.openxmlformats.org/officeDocument/2006/relationships/hyperlink" Target="https://www.sec.gov/Archives/edgar/data/1970622/000121390026063832/ea029312701ex10-2.htm" TargetMode="External"/><Relationship Id="rId24" Type="http://schemas.openxmlformats.org/officeDocument/2006/relationships/hyperlink" Target="https://www.sec.gov/Archives/edgar/data/1970622/000121390026063832/ea029312701ex10-2.htm" TargetMode="External"/><Relationship Id="rId25" Type="http://schemas.openxmlformats.org/officeDocument/2006/relationships/hyperlink" Target="https://www.sec.gov/Archives/edgar/data/1970622/000121390026064453/ea029340201ex10-1.htm" TargetMode="External"/><Relationship Id="rId26" Type="http://schemas.openxmlformats.org/officeDocument/2006/relationships/hyperlink" Target="https://www.sec.gov/Archives/edgar/data/1970622/000121390026064453/ea029340201ex10-1.htm" TargetMode="External"/><Relationship Id="rId27" Type="http://schemas.openxmlformats.org/officeDocument/2006/relationships/hyperlink" Target="https://www.sec.gov/Archives/edgar/data/1970622/000121390026064453/ea029340201ex10-2.htm" TargetMode="External"/><Relationship Id="rId28" Type="http://schemas.openxmlformats.org/officeDocument/2006/relationships/hyperlink" Target="https://www.sec.gov/Archives/edgar/data/1970622/000121390026064453/ea029340201ex10-2.htm" TargetMode="External"/><Relationship Id="rId29" Type="http://schemas.openxmlformats.org/officeDocument/2006/relationships/hyperlink" Target="https://www.sec.gov/Archives/edgar/data/1970622/000121390026064453/ea029340201ex10-3.htm" TargetMode="External"/><Relationship Id="rId30" Type="http://schemas.openxmlformats.org/officeDocument/2006/relationships/hyperlink" Target="https://www.sec.gov/Archives/edgar/data/1970622/000121390026064453/ea029340201ex10-3.htm" TargetMode="External"/><Relationship Id="rId31" Type="http://schemas.openxmlformats.org/officeDocument/2006/relationships/hyperlink" Target="https://www.sec.gov/Archives/edgar/data/1970622/000121390026064453/ea029340201ex10-4.htm" TargetMode="External"/><Relationship Id="rId32" Type="http://schemas.openxmlformats.org/officeDocument/2006/relationships/hyperlink" Target="https://www.sec.gov/Archives/edgar/data/1970622/000121390026064453/ea029340201ex10-4.htm" TargetMode="External"/><Relationship Id="rId33" Type="http://schemas.openxmlformats.org/officeDocument/2006/relationships/hyperlink" Target="https://www.sec.gov/Archives/edgar/data/1970622/000121390026079438/ea029849001ex10-1.htm" TargetMode="External"/><Relationship Id="rId34" Type="http://schemas.openxmlformats.org/officeDocument/2006/relationships/hyperlink" Target="https://www.sec.gov/Archives/edgar/data/1970622/000121390026079438/ea029849001ex10-1.htm" TargetMode="External"/><Relationship Id="rId35" Type="http://schemas.openxmlformats.org/officeDocument/2006/relationships/hyperlink" Target="https://www.sec.gov/Archives/edgar/data/1970622/000121390026079438/ea029849001ex10-2.htm" TargetMode="External"/><Relationship Id="rId36" Type="http://schemas.openxmlformats.org/officeDocument/2006/relationships/hyperlink" Target="https://www.sec.gov/Archives/edgar/data/1970622/000121390026079438/ea029849001ex10-2.htm" TargetMode="External"/><Relationship Id="rId37" Type="http://schemas.openxmlformats.org/officeDocument/2006/relationships/hyperlink" Target="https://www.sec.gov/Archives/edgar/data/1970622/000121390026079438/ea029849001ex10-3.htm" TargetMode="External"/><Relationship Id="rId38" Type="http://schemas.openxmlformats.org/officeDocument/2006/relationships/hyperlink" Target="https://www.sec.gov/Archives/edgar/data/1970622/000121390026079438/ea029849001ex10-3.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27698</Words>
  <Characters>156051</Characters>
  <CharactersWithSpaces>182104</CharactersWithSpaces>
  <Paragraphs>2903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