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752-8k_usarare.htm"/>
      <w:bookmarkStart w:id="1" w:name="ksea02967528k_usarar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2285"/>
        <w:gridCol w:w="60"/>
        <w:gridCol w:w="2630"/>
        <w:gridCol w:w="60"/>
        <w:gridCol w:w="1550"/>
      </w:tblGrid>
      <w:tr>
        <w:trPr/>
        <w:tc>
          <w:tcPr>
            <w:tcW w:w="228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30" w:type="dxa"/>
            <w:tcBorders>
              <w:bottom w:val="single" w:sz="12" w:space="0" w:color="000000"/>
            </w:tcBorders>
            <w:vAlign w:val="center"/>
          </w:tcPr>
          <w:p>
            <w:pPr>
              <w:pStyle w:val="TableContents"/>
              <w:bidi w:val="0"/>
              <w:spacing w:before="0" w:after="283"/>
              <w:jc w:val="center"/>
              <w:rPr>
                <w:b/>
              </w:rPr>
            </w:pPr>
            <w:r>
              <w:rPr>
                <w:b/>
              </w:rPr>
              <w:t>001-41711</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rPr>
            </w:pPr>
            <w:r>
              <w:rPr>
                <w:b/>
              </w:rPr>
              <w:t>98-1720278</w:t>
            </w:r>
          </w:p>
        </w:tc>
      </w:tr>
      <w:tr>
        <w:trPr/>
        <w:tc>
          <w:tcPr>
            <w:tcW w:w="2285"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30" w:type="dxa"/>
            <w:tcBorders/>
            <w:tcMar>
              <w:bottom w:w="0" w:type="dxa"/>
            </w:tcMar>
            <w:vAlign w:val="center"/>
          </w:tcPr>
          <w:p>
            <w:pPr>
              <w:pStyle w:val="TableContents"/>
              <w:bidi w:val="0"/>
              <w:spacing w:before="0" w:after="283"/>
              <w:jc w:val="center"/>
              <w:rPr>
                <w:i/>
              </w:rPr>
            </w:pPr>
            <w:r>
              <w:rPr>
                <w:i/>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50"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W. Airport Road, Stillwater, OK 74075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 867-6155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3350"/>
        <w:gridCol w:w="60"/>
        <w:gridCol w:w="1805"/>
        <w:gridCol w:w="60"/>
        <w:gridCol w:w="4235"/>
      </w:tblGrid>
      <w:tr>
        <w:trPr/>
        <w:tc>
          <w:tcPr>
            <w:tcW w:w="3350"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0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23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jc w:val="center"/>
              <w:rPr/>
            </w:pPr>
            <w:r>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05" w:type="dxa"/>
            <w:tcBorders/>
            <w:shd w:fill="CCEEFF" w:val="clear"/>
            <w:tcMar>
              <w:bottom w:w="0" w:type="dxa"/>
            </w:tcMar>
            <w:vAlign w:val="center"/>
          </w:tcPr>
          <w:p>
            <w:pPr>
              <w:pStyle w:val="TableContents"/>
              <w:bidi w:val="0"/>
              <w:spacing w:before="0" w:after="283"/>
              <w:jc w:val="center"/>
              <w:rPr/>
            </w:pPr>
            <w:r>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35"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(“Merger Sub”),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“Shareholder Representative”). The Merger Agreement provides for the merger of SVRE with and into Merger Sub, with Merger Sub surviving such merger as an indirect, wholly owned subsidiary of USAR (the “Merger”). USAR is filing this Current Report on Form 8-K in part for the purpose of supplementing disclosures contained in USAR’s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USAR, Merger Sub, SVRE and the Shareholder Representative entered into Amendment No. 1 to the Merger Agreement (“Amendment No. 1 to the Merger Agreement”), pursuant to which the satisfaction (and non-waiver) of certain conditions precedent set forth in the offtake agreement entered into on April 20, 2026 by and between SV Management Switzerland AG (“SV Management Switzerland”), a subsidiary of SVRE, and a special purpose vehicle capitalized by the U.S. government and private capital sources (the “Counterparty”) (as amended from time to time, the “Offtake Agreement”) for the long-term supply of rare earth materials produced by SVRE, the lapse of the right of SV Management Switzerland to terminate the Offtake Agreement, and the Offtake Agreement being in full force and effect as of the closing of the Merger became conditions to the obligation of USAR and Merger Sub to complete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the Merger Agreement is included as Exhibit 2.1 and is incorporated herein by reference. The description of Amendment No. 1 to the Merger Agreement above does not purport to be complete and is qualified in its entirety by reference to the full text of the agreement filed herewith. A copy of Amendment No. 1 to the Merger Agreement has been included to provide USAR stockholders with information regarding its terms and is not intended to provide any factual information about USAR, SVRE, Merger Sub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on July 16, 2026, USAR filed with the Securities and Exchange Commission (the “SEC”) Amendment No. 2 (“Amendment No. 2”) to the preliminary proxy statement that was filed on Schedule 14A on May 13, 2026 (together with Amendment No. 1, which was filed on June 12, 2026, and Amendment No. 2, the “Preliminary Proxy Statement”), which included an updated version of USAR’s unaudited pro forma condensed combined financial statements as of and for the three months ended March 31, 2026 and for the year ended December 31, 2025, giving effect to the Merger (the “Updated USAR Pro Forma Financial Statements”). USAR is filing this Current Report on Form 8-K for the purpose of disclosing the Updated USAR Pro Forma Financial Statements and certain other updated disclosures that were included in Amendment No. 2. The Updated USAR Pro Forma Financial Statements and other updated disclosures are included in Exhibit 99.1 and Exhibit 99.2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the exhibits filed hereto, contains “forward-looking statements” within the meaning of the Private Securities Litigation Reform Act of 1995. These statements include those relating to our financing arrangement with the U.S. Department of Commerce (the “DOC”),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SVG, Carester and TMRC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SVG,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w:t>
      </w:r>
      <w:r>
        <w:rPr>
          <w:rFonts w:ascii="Times New Roman;Times;Serif" w:hAnsi="Times New Roman;Times;Serif"/>
          <w:b w:val="false"/>
          <w:i w:val="false"/>
          <w:caps w:val="false"/>
          <w:smallCaps w:val="false"/>
          <w:sz w:val="20"/>
          <w:u w:val="single"/>
        </w:rPr>
        <w:t>Form 4</w:t>
      </w:r>
      <w:r>
        <w:rPr>
          <w:rFonts w:ascii="Times New Roman;Times;Serif" w:hAnsi="Times New Roman;Times;Serif"/>
          <w:b w:val="false"/>
          <w:i w:val="false"/>
          <w:caps w:val="false"/>
          <w:smallCaps w:val="false"/>
          <w:sz w:val="20"/>
        </w:rPr>
        <w:t>”) or Annual Statements of Changes in Beneficial Ownership of Securities on Form 5 (“</w:t>
      </w:r>
      <w:r>
        <w:rPr>
          <w:rFonts w:ascii="Times New Roman;Times;Serif" w:hAnsi="Times New Roman;Times;Serif"/>
          <w:b w:val="false"/>
          <w:i w:val="false"/>
          <w:caps w:val="false"/>
          <w:smallCaps w:val="false"/>
          <w:sz w:val="20"/>
          <w:u w:val="single"/>
        </w:rPr>
        <w:t>Form 5</w:t>
      </w:r>
      <w:r>
        <w:rPr>
          <w:rFonts w:ascii="Times New Roman;Times;Serif" w:hAnsi="Times New Roman;Times;Serif"/>
          <w:b w:val="false"/>
          <w:i w:val="false"/>
          <w:caps w:val="false"/>
          <w:smallCaps w:val="false"/>
          <w:sz w:val="20"/>
        </w:rPr>
        <w:t>”)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77"/>
        <w:gridCol w:w="60"/>
        <w:gridCol w:w="9268"/>
      </w:tblGrid>
      <w:tr>
        <w:trPr/>
        <w:tc>
          <w:tcPr>
            <w:tcW w:w="877"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8" w:type="dxa"/>
            <w:tcBorders/>
            <w:shd w:fill="CCEEFF" w:val="clear"/>
            <w:tcMar>
              <w:bottom w:w="0" w:type="dxa"/>
            </w:tcMar>
            <w:vAlign w:val="center"/>
          </w:tcPr>
          <w:p>
            <w:pPr>
              <w:pStyle w:val="TableContents"/>
              <w:bidi w:val="0"/>
              <w:spacing w:before="0" w:after="283"/>
              <w:jc w:val="left"/>
              <w:rPr/>
            </w:pPr>
            <w:hyperlink w:anchor="ea029675201ex2-1.htm">
              <w:r>
                <w:rPr>
                  <w:rStyle w:val="InternetLink"/>
                  <w:rFonts w:ascii="Times New Roman;Times;Serif" w:hAnsi="Times New Roman;Times;Serif"/>
                  <w:strike w:val="false"/>
                  <w:dstrike w:val="false"/>
                  <w:sz w:val="20"/>
                  <w:u w:val="none"/>
                  <w:effect w:val="none"/>
                </w:rPr>
                <w:t>Amendment No. 1, dated July 16, 2026, to the Merger Agreement by and among USAR, SVRE, Merger Sub and the Shareholder Representative</w:t>
              </w:r>
            </w:hyperlink>
          </w:p>
        </w:tc>
      </w:tr>
      <w:tr>
        <w:trPr/>
        <w:tc>
          <w:tcPr>
            <w:tcW w:w="8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shd w:fill="FFFFFF" w:val="clear"/>
            <w:tcMar>
              <w:bottom w:w="0" w:type="dxa"/>
            </w:tcMar>
            <w:vAlign w:val="center"/>
          </w:tcPr>
          <w:p>
            <w:pPr>
              <w:pStyle w:val="TableContents"/>
              <w:bidi w:val="0"/>
              <w:spacing w:before="0" w:after="283"/>
              <w:jc w:val="left"/>
              <w:rPr/>
            </w:pPr>
            <w:hyperlink w:anchor="ea029675201ex99-1.htm">
              <w:r>
                <w:rPr>
                  <w:rStyle w:val="InternetLink"/>
                  <w:rFonts w:ascii="Times New Roman;Times;Serif" w:hAnsi="Times New Roman;Times;Serif"/>
                  <w:sz w:val="20"/>
                </w:rPr>
                <w:t>Unaudited pro forma condensed combined financial statements of USAR as of and for the three months ended March 31, 2026, and for the year ended December 31, 2025</w:t>
              </w:r>
            </w:hyperlink>
          </w:p>
        </w:tc>
      </w:tr>
      <w:tr>
        <w:trPr/>
        <w:tc>
          <w:tcPr>
            <w:tcW w:w="8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8" w:type="dxa"/>
            <w:tcBorders/>
            <w:shd w:fill="CCEEFF" w:val="clear"/>
            <w:tcMar>
              <w:bottom w:w="0" w:type="dxa"/>
            </w:tcMar>
            <w:vAlign w:val="center"/>
          </w:tcPr>
          <w:p>
            <w:pPr>
              <w:pStyle w:val="TableContents"/>
              <w:bidi w:val="0"/>
              <w:spacing w:before="0" w:after="283"/>
              <w:jc w:val="left"/>
              <w:rPr/>
            </w:pPr>
            <w:hyperlink w:anchor="ea029675201ex99-2.htm">
              <w:r>
                <w:rPr>
                  <w:rStyle w:val="InternetLink"/>
                  <w:rFonts w:ascii="Times New Roman;Times;Serif" w:hAnsi="Times New Roman;Times;Serif"/>
                  <w:sz w:val="20"/>
                </w:rPr>
                <w:t>Other Updated Disclosures</w:t>
              </w:r>
            </w:hyperlink>
          </w:p>
        </w:tc>
      </w:tr>
      <w:tr>
        <w:trPr/>
        <w:tc>
          <w:tcPr>
            <w:tcW w:w="8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25"/>
        <w:gridCol w:w="425"/>
        <w:gridCol w:w="2105"/>
      </w:tblGrid>
      <w:tr>
        <w:trPr/>
        <w:tc>
          <w:tcPr>
            <w:tcW w:w="1625" w:type="dxa"/>
            <w:tcBorders/>
            <w:vAlign w:val="center"/>
          </w:tcPr>
          <w:p>
            <w:pPr>
              <w:pStyle w:val="TableContents"/>
              <w:bidi w:val="0"/>
              <w:spacing w:before="0" w:after="283"/>
              <w:jc w:val="both"/>
              <w:rPr/>
            </w:pPr>
            <w:r>
              <w:rPr/>
              <w:t> </w:t>
            </w:r>
          </w:p>
        </w:tc>
        <w:tc>
          <w:tcPr>
            <w:tcW w:w="2530" w:type="dxa"/>
            <w:gridSpan w:val="2"/>
            <w:tcBorders/>
            <w:vAlign w:val="center"/>
          </w:tcPr>
          <w:p>
            <w:pPr>
              <w:pStyle w:val="TableContents"/>
              <w:bidi w:val="0"/>
              <w:spacing w:before="0" w:after="283"/>
              <w:jc w:val="left"/>
              <w:rPr>
                <w:b/>
              </w:rPr>
            </w:pPr>
            <w:r>
              <w:rPr>
                <w:b/>
              </w:rPr>
              <w:t>USA Rare Earth, Inc.</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tc>
        <w:tc>
          <w:tcPr>
            <w:tcW w:w="425" w:type="dxa"/>
            <w:tcBorders/>
            <w:vAlign w:val="center"/>
          </w:tcPr>
          <w:p>
            <w:pPr>
              <w:pStyle w:val="TableContents"/>
              <w:bidi w:val="0"/>
              <w:spacing w:before="0" w:after="283"/>
              <w:jc w:val="left"/>
              <w:rPr/>
            </w:pPr>
            <w:r>
              <w:rPr/>
              <w:t xml:space="preserve">By: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/s/ Valerie Ford Jacob</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Valerie Ford Jacob</w:t>
            </w:r>
          </w:p>
        </w:tc>
      </w:tr>
      <w:tr>
        <w:trPr/>
        <w:tc>
          <w:tcPr>
            <w:tcW w:w="162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Chief Legal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675201ex2-1.htm"/>
      <w:bookmarkStart w:id="3" w:name="ksea029675201ex21"/>
      <w:bookmarkEnd w:id="2"/>
      <w:bookmarkEnd w:id="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Agreement and Plan of Merger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July 16, 2026, is entered into by and among (i) USA Rare Earth,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(iii) SVRE Holdings Ltd., a business company limited by shares incorporated under the laws of the British Virgin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Times;Serif" w:hAnsi="Times New Roman;Times;Serif"/>
          <w:b w:val="false"/>
          <w:i w:val="false"/>
          <w:caps w:val="false"/>
          <w:smallCaps w:val="false"/>
          <w:sz w:val="20"/>
          <w:u w:val="single"/>
        </w:rPr>
        <w:t>Seller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are parties to that certain Agreement and Plan of Merger, dated as of April 19, 2026 (as amended, supplemented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Clause 2.2 of the Offtake Agreement, certain conditions precedent to the Seller’s obligation to sell and deliver and the Buyer’s obligation to purchase and take Pre-COD Product and the ACQ (all of which capitalized terms are defined in the Offtake Agreement) are required to be satisfied or waived;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10.11 of the Merger Agreement, the Merger Agreement may be amended in a written instrument executed by Merger Sub, Parent, the Company and the Seller Representative;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the Merger Agreement in accordance with Section 10.11 of the Merger Agreement to add a new closing condition for the benefit of Parent and Merger Sub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parties hereto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herein without definition shall have the meanings ascribed to such terms in the Merger Agreement unless otherwise indicated.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 to the Merger Agreement</w:t>
      </w:r>
      <w:r>
        <w:rPr>
          <w:rFonts w:ascii="Times New Roman;Times;Serif" w:hAnsi="Times New Roman;Times;Serif"/>
          <w:b w:val="false"/>
          <w:i w:val="false"/>
          <w:caps w:val="false"/>
          <w:smallCaps w:val="false"/>
          <w:sz w:val="20"/>
        </w:rPr>
        <w:t>. A new Section 6.1(q) is hereby added to the Merger Agreement immediately following Section 6.1(p) to read in its entirety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Offtake Condition</w:t>
      </w:r>
      <w:r>
        <w:rPr>
          <w:rFonts w:ascii="Times New Roman;Times;Serif" w:hAnsi="Times New Roman;Times;Serif"/>
          <w:b w:val="false"/>
          <w:i w:val="false"/>
          <w:caps w:val="false"/>
          <w:smallCaps w:val="false"/>
          <w:sz w:val="20"/>
        </w:rPr>
        <w:t>. (i) The conditions set forth in Clause 2.2(b) and Clause 2.2(c) of the Offtake Agreement shall each have been satisfied (and not waived), (ii) the right of SV Management Switzerland AG (the “</w:t>
      </w:r>
      <w:r>
        <w:rPr>
          <w:rFonts w:ascii="Times New Roman;Times;Serif" w:hAnsi="Times New Roman;Times;Serif"/>
          <w:b w:val="false"/>
          <w:i w:val="false"/>
          <w:caps w:val="false"/>
          <w:smallCaps w:val="false"/>
          <w:sz w:val="20"/>
          <w:u w:val="single"/>
        </w:rPr>
        <w:t>Offtake Seller</w:t>
      </w:r>
      <w:r>
        <w:rPr>
          <w:rFonts w:ascii="Times New Roman;Times;Serif" w:hAnsi="Times New Roman;Times;Serif"/>
          <w:b w:val="false"/>
          <w:i w:val="false"/>
          <w:caps w:val="false"/>
          <w:smallCaps w:val="false"/>
          <w:sz w:val="20"/>
        </w:rPr>
        <w:t>”) to terminate the Offtake Agreement in accordance with Clause 2.4 of the Offtake Agreement shall have lapsed and shall no longer be exercisable by the Offtake Seller, and (iii) the Offtake Agreement shall be in full force and effect as of the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No Other Amendments; Ratification</w:t>
      </w:r>
      <w:r>
        <w:rPr>
          <w:rFonts w:ascii="Times New Roman;Times;Serif" w:hAnsi="Times New Roman;Times;Serif"/>
          <w:b w:val="false"/>
          <w:i w:val="false"/>
          <w:caps w:val="false"/>
          <w:smallCaps w:val="false"/>
          <w:sz w:val="20"/>
        </w:rPr>
        <w:t>. Except as expressly provided in this Amendment, all of the terms and provisions of the Merger Agreement are and shall remain in full force and effect and are hereby ratified and confirmed by the parties hereto. The amendments contained herein shall not be construed as an amendment to or waiver of any other provision of the Merger Agreement or as a waiver of or consent to any further or future action on the part of any party that would require the waiver or consent of any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Effect of Amendment</w:t>
      </w:r>
      <w:r>
        <w:rPr>
          <w:rFonts w:ascii="Times New Roman;Times;Serif" w:hAnsi="Times New Roman;Times;Serif"/>
          <w:b w:val="false"/>
          <w:i w:val="false"/>
          <w:caps w:val="false"/>
          <w:smallCaps w:val="false"/>
          <w:sz w:val="20"/>
        </w:rPr>
        <w:t>. On and after the date of this Amendment, each reference in the Merger Agreement to “this Agreement,” “hereunder,” “hereof,” “herein” or words of like import referring to the Merger Agreement shall mean and be a reference to the Merger Agreement as amended by this Amendment. In the event of any inconsistency between the terms of this Amendment and the terms of the Merger Agreement, the terms of this Amendment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Incorporation by Reference</w:t>
      </w:r>
      <w:r>
        <w:rPr>
          <w:rFonts w:ascii="Times New Roman;Times;Serif" w:hAnsi="Times New Roman;Times;Serif"/>
          <w:b w:val="false"/>
          <w:i w:val="false"/>
          <w:caps w:val="false"/>
          <w:smallCaps w:val="false"/>
          <w:sz w:val="20"/>
        </w:rPr>
        <w:t xml:space="preserve">. The provisions of Article X (Miscellaneous) of the Merger Agreement shall, to the extent not already set forth in this Amendment,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this Amendment, and to the Merger Agreement as modified by this Amendment, taken together as a single agreement, reflecting the terms as modified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or more counterparts, each of which shall be deemed an original but all of which together shall constitute one and the same instrument. Delivery of an executed counterpart of a signature page to this Amendment by electronic transmission shall be effective as delivery of a manually executed counterpart of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Amendment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Barbara Humpton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Humpton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766"/>
        <w:gridCol w:w="24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MIDDLEBURY MERGER SUB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3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Kronenfeld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Kronenfeld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1 to Agreement and Plan of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Amendment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2194" w:type="dxa"/>
        <w:jc w:val="left"/>
        <w:tblInd w:w="0" w:type="dxa"/>
        <w:tblLayout w:type="fixed"/>
        <w:tblCellMar>
          <w:top w:w="0" w:type="dxa"/>
          <w:left w:w="0" w:type="dxa"/>
          <w:bottom w:w="0" w:type="dxa"/>
          <w:right w:w="0" w:type="dxa"/>
        </w:tblCellMar>
      </w:tblPr>
      <w:tblGrid>
        <w:gridCol w:w="75"/>
        <w:gridCol w:w="555"/>
        <w:gridCol w:w="15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SVRE HOLDINGS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6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Sir Mick Davis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Mick Davis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881"/>
        <w:gridCol w:w="248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REPRESENTATIVE: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SERRA VERDE RARE EARTHS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solely in its capacity as the Seller </w:t>
              <w:br/>
              <w:t>Representative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Justin Machin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Machin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1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4" w:name="ea029675201ex99-1.htm"/>
      <w:bookmarkStart w:id="5" w:name="ksea029675201ex991"/>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PRO FORMA CONDENSED COMBINED FINANCIAL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Direct Funding Agreement and the Loan Guarantee Agreement, USAR entered into a Securities Issuance Agreement with the DOC and issued to the DOC 16,132,790 shares of Common Stock (“the SIA Shares”) and a warrant to purchase 17,600,584 shares of Common Stock at an exercise price of $17.17 per share (the “DOC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preliminary conclusions, the SIA Shares were issued in exchange for access to the awards pursuant to the Direct Funding Agreement and the warrant to purchase 17,600,584 shares of Common Stock was issued in exchange for obtaining the Loan Guarantee Agreement. The Company has recorded deferred financing and other transaction costs for the issuance of the SIA Shares and warrant.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SIA Shares has been reflected in the unaudited pro forma condensed combined balance sheet as of March 31, 2026 as an increase in stockholders’ equity of $451.4 million which represents the fair value of the SIA Shares at the date of issuance, an increase in other non-current assets of $277.0 million which represents a deferred financing cost related to the maximum award amount of $277.0 million pursuant to the Direct Funding Agreement, and an increase in accumulated deficit of $174.4 million which represents the cost of obtaining the Direct Funding Agreement which is equal to the difference between the fair value of the SIA Shares at issuance and the maximum direct funding award. The deferred financing cost will commence amortization pro ratably upon recognition of grant income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of the date of this filing. As such no amortization of the deferred financing cost has been reflected in the accompanying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warrant issued to the DOC is liability-classified, with an initial fair value of $24.48 per common share, or approximately $430.9 million in aggregate as of the issuance date of June 3, 2026. The DOC Warrant liability will be remeasured at fair value at the end of each reporting period, with changes in fair value recognized as a gain or loss within other income (expense), net in the Company’s condensed consolidated statements of operations and comprehensive income (loss). The DOC Warrant liability was initially recorded at fair value with an offsetting entry recorded as a deferred loan commitment asset until the debt associated with the Parent Loan Agreements is drawn. Upon each draw, the deferred loan commitment asset will be derecognized proportionately, and recorded as a component of the related debt’s amortized cost basis, which will be amortized over the term of the debt using the effective interest method. As of the date of this filing, no amounts associated with the Parent Loan Agreements had been drawn. Accordingly, no reclassification of the deferred loan commitment asset to related debt’s amortized cost basis has been reflected on the Company’s unaudited pro forma condensed combined balance sheet as of March 31, 2026, and no related amortization expense has been reflected in the Company’s unaudited pro forma condensed combined statements of operations for the three months ended March 31, 2026 and for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Retained Finance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Offtake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provides for the sale of 100% of the rare earth products produced from phase one of the Pela Ema project, subject to limited carve-outs. The Incremental Loan was fully disbursed on June 4, 2026, and SVRE’s delivery obligation will be for 100% of phase one production.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 On June 29, 2026, SV Management Switzerland and the Counterparty entered into an amendment, consent and waiver to the Offtake Agreement that extended the long-stop date from June 12, 2026 to August 14,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and should be read in conjunction with the accompanying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in conjunction with, the following historical financial statements and the accompanying notes: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audited consolidated financial statements of USAR as of and for the year ended December 31, 2025, as included in the Company’s Annual Report on Form 10-K filed with the SEC on March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unaudited condensed consolidated financial statements of USAR as of and for the three months ended March 31, 2026, as included in the Company’s Quarterly Report on Form 10-Q filed with the SEC on May 14,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historical audited financial statements of SVRE as of and for the year ended December 31, 2025, included as Exhibit 99.3 in the Company’s Current Report on Form 8-K filed with the SEC on May 13, 2026.</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Pro Forma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presented for illustrative purposes only and does not reflect the costs of any integration activities or cost savings or synergies that may be achieved because of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SVRE have not had any historical material relationship prior to the Merger. Accordingly, no pro forma adjustments were required to eliminate activities between the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March 31, 2026</w:t>
        <w:br/>
        <w:t>(in thousands)</w:t>
      </w:r>
    </w:p>
    <w:p>
      <w:pPr>
        <w:pStyle w:val="TextBody"/>
        <w:bidi w:val="0"/>
        <w:spacing w:before="0" w:after="0"/>
        <w:ind w:left="0" w:right="0" w:hanging="0"/>
        <w:jc w:val="center"/>
        <w:rPr>
          <w:caps w:val="false"/>
          <w:smallCaps w:val="false"/>
        </w:rPr>
      </w:pPr>
      <w:r>
        <w:rPr>
          <w:caps w:val="false"/>
          <w:smallCaps w:val="false"/>
        </w:rPr>
        <w:t> </w:t>
      </w:r>
    </w:p>
    <w:tbl>
      <w:tblPr>
        <w:tblW w:w="10845" w:type="dxa"/>
        <w:jc w:val="left"/>
        <w:tblInd w:w="0" w:type="dxa"/>
        <w:tblLayout w:type="fixed"/>
        <w:tblCellMar>
          <w:top w:w="0" w:type="dxa"/>
          <w:left w:w="0" w:type="dxa"/>
          <w:bottom w:w="0" w:type="dxa"/>
          <w:right w:w="0" w:type="dxa"/>
        </w:tblCellMar>
      </w:tblPr>
      <w:tblGrid>
        <w:gridCol w:w="2135"/>
        <w:gridCol w:w="60"/>
        <w:gridCol w:w="140"/>
        <w:gridCol w:w="980"/>
        <w:gridCol w:w="60"/>
        <w:gridCol w:w="60"/>
        <w:gridCol w:w="148"/>
        <w:gridCol w:w="847"/>
        <w:gridCol w:w="60"/>
        <w:gridCol w:w="60"/>
        <w:gridCol w:w="204"/>
        <w:gridCol w:w="1106"/>
        <w:gridCol w:w="350"/>
        <w:gridCol w:w="60"/>
        <w:gridCol w:w="163"/>
        <w:gridCol w:w="1147"/>
        <w:gridCol w:w="335"/>
        <w:gridCol w:w="60"/>
        <w:gridCol w:w="199"/>
        <w:gridCol w:w="1141"/>
        <w:gridCol w:w="275"/>
        <w:gridCol w:w="60"/>
        <w:gridCol w:w="140"/>
        <w:gridCol w:w="980"/>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USAR</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SVRE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Presentation</w:t>
              <w:br/>
              <w:t>Adjustments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Material</w:t>
              <w:br/>
              <w:t>Transactions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75" w:type="dxa"/>
            <w:tcBorders/>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1,749,644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110,417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(300,000</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99,000</w:t>
            </w:r>
          </w:p>
        </w:tc>
        <w:tc>
          <w:tcPr>
            <w:tcW w:w="275" w:type="dxa"/>
            <w:tcBorders/>
            <w:shd w:fill="CCEEFF" w:val="clear"/>
            <w:vAlign w:val="center"/>
          </w:tcPr>
          <w:p>
            <w:pPr>
              <w:pStyle w:val="TableContents"/>
              <w:bidi w:val="0"/>
              <w:spacing w:before="0" w:after="283"/>
              <w:jc w:val="left"/>
              <w:rPr/>
            </w:pPr>
            <w:r>
              <w:rPr/>
              <w: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1,659,061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5,722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(241</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21,231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49,661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241</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10,622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1,790,386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135,680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(300,000</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99,000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1,725,066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611,588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2,510,291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3,227,041</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(14,805</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Mineral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14,805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32,144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1,090,843</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(99,000</w:t>
            </w:r>
          </w:p>
        </w:tc>
        <w:tc>
          <w:tcPr>
            <w:tcW w:w="27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1,126,691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246,691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313,946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Equipment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5,364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(1,000</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277,000</w:t>
            </w:r>
          </w:p>
        </w:tc>
        <w:tc>
          <w:tcPr>
            <w:tcW w:w="275"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708,262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double" w:sz="10" w:space="0" w:color="000000"/>
            </w:tcBorders>
            <w:shd w:fill="CCEEFF" w:val="clear"/>
            <w:tcMar>
              <w:bottom w:w="28" w:type="dxa"/>
            </w:tcMar>
            <w:vAlign w:val="center"/>
          </w:tcPr>
          <w:p>
            <w:pPr>
              <w:pStyle w:val="TableContents"/>
              <w:bidi w:val="0"/>
              <w:spacing w:before="0" w:after="283"/>
              <w:jc w:val="right"/>
              <w:rPr/>
            </w:pPr>
            <w:r>
              <w:rPr/>
              <w:t>430,862</w:t>
            </w:r>
          </w:p>
        </w:tc>
        <w:tc>
          <w:tcPr>
            <w:tcW w:w="275"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2,134,839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748,461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pPr>
            <w:r>
              <w:rPr/>
              <w:t>3,547,825</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1" w:type="dxa"/>
            <w:tcBorders>
              <w:bottom w:val="double" w:sz="10" w:space="0" w:color="000000"/>
            </w:tcBorders>
            <w:shd w:fill="FFFFFF" w:val="clear"/>
            <w:tcMar>
              <w:bottom w:w="28" w:type="dxa"/>
            </w:tcMar>
            <w:vAlign w:val="center"/>
          </w:tcPr>
          <w:p>
            <w:pPr>
              <w:pStyle w:val="TableContents"/>
              <w:bidi w:val="0"/>
              <w:spacing w:before="0" w:after="283"/>
              <w:jc w:val="right"/>
              <w:rPr/>
            </w:pPr>
            <w:r>
              <w:rPr/>
              <w:t>707,862</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7,138,987</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LIABILITIES, MEZZANINE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15,647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(6,702</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26,029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13,190</w:t>
            </w:r>
          </w:p>
        </w:tc>
        <w:tc>
          <w:tcPr>
            <w:tcW w:w="350" w:type="dxa"/>
            <w:tcBorders/>
            <w:shd w:fill="FFFFFF" w:val="clear"/>
            <w:vAlign w:val="center"/>
          </w:tcPr>
          <w:p>
            <w:pPr>
              <w:pStyle w:val="TableContents"/>
              <w:bidi w:val="0"/>
              <w:spacing w:before="0" w:after="283"/>
              <w:jc w:val="left"/>
              <w:rPr/>
            </w:pPr>
            <w:r>
              <w:rPr/>
              <w:t>(A)</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113,000</w:t>
            </w:r>
          </w:p>
        </w:tc>
        <w:tc>
          <w:tcPr>
            <w:tcW w:w="335" w:type="dxa"/>
            <w:tcBorders/>
            <w:shd w:fill="FFFFFF" w:val="clear"/>
            <w:vAlign w:val="center"/>
          </w:tcPr>
          <w:p>
            <w:pPr>
              <w:pStyle w:val="TableContents"/>
              <w:bidi w:val="0"/>
              <w:spacing w:before="0" w:after="283"/>
              <w:jc w:val="left"/>
              <w:rPr/>
            </w:pPr>
            <w:r>
              <w:rPr/>
              <w:t>(C)</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147,995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445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10,377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Salaries and social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(6,488</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(445</w:t>
            </w:r>
          </w:p>
        </w:tc>
        <w:tc>
          <w:tcPr>
            <w:tcW w:w="350" w:type="dxa"/>
            <w:tcBorders/>
            <w:shd w:fill="CCEEFF" w:val="clear"/>
            <w:vAlign w:val="center"/>
          </w:tcPr>
          <w:p>
            <w:pPr>
              <w:pStyle w:val="TableContents"/>
              <w:bidi w:val="0"/>
              <w:spacing w:before="0" w:after="283"/>
              <w:jc w:val="left"/>
              <w:rPr/>
            </w:pPr>
            <w:r>
              <w:rPr/>
              <w:t>)(A)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Royalty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11,443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DFC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Finance leases,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37,602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113,000</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199,941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Royalty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65,534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149,881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215,415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DFC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297,009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297,009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March 31, 2026 — (Continued)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3"/>
        <w:gridCol w:w="60"/>
        <w:gridCol w:w="140"/>
        <w:gridCol w:w="980"/>
        <w:gridCol w:w="95"/>
        <w:gridCol w:w="60"/>
        <w:gridCol w:w="140"/>
        <w:gridCol w:w="875"/>
        <w:gridCol w:w="95"/>
        <w:gridCol w:w="60"/>
        <w:gridCol w:w="458"/>
        <w:gridCol w:w="852"/>
        <w:gridCol w:w="60"/>
        <w:gridCol w:w="60"/>
        <w:gridCol w:w="163"/>
        <w:gridCol w:w="1147"/>
        <w:gridCol w:w="335"/>
        <w:gridCol w:w="60"/>
        <w:gridCol w:w="184"/>
        <w:gridCol w:w="1156"/>
        <w:gridCol w:w="350"/>
        <w:gridCol w:w="60"/>
        <w:gridCol w:w="140"/>
        <w:gridCol w:w="980"/>
        <w:gridCol w:w="112"/>
      </w:tblGrid>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USAR</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SVRE</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Presentation</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Material</w:t>
              <w:br/>
              <w:t>Transactions</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2" w:type="dxa"/>
            <w:tcBorders/>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 xml:space="preserve">Asset retirement </w:t>
              <w:br/>
              <w:t>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4,738</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8,414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Finance leases,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699</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 xml:space="preserve">Operating leases, </w:t>
              <w:br/>
              <w:t>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1,564</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(145,080</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(14,841</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430,862</w:t>
            </w:r>
          </w:p>
        </w:tc>
        <w:tc>
          <w:tcPr>
            <w:tcW w:w="350" w:type="dxa"/>
            <w:tcBorders/>
            <w:shd w:fill="CCEEFF" w:val="clear"/>
            <w:vAlign w:val="center"/>
          </w:tcPr>
          <w:p>
            <w:pPr>
              <w:pStyle w:val="TableContents"/>
              <w:bidi w:val="0"/>
              <w:spacing w:before="0" w:after="283"/>
              <w:jc w:val="left"/>
              <w:rPr/>
            </w:pPr>
            <w:r>
              <w:rPr/>
              <w:t>(G)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457,353</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886,414</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902,593</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246,266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421,468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1,134,454</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285,782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2,087,970</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12% Series A Cumulative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9,614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 xml:space="preserve">Total mezzanine </w:t>
              <w:br/>
              <w:t>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9,614</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16</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w:t>
            </w:r>
          </w:p>
        </w:tc>
        <w:tc>
          <w:tcPr>
            <w:tcW w:w="350" w:type="dxa"/>
            <w:tcBorders/>
            <w:shd w:fill="CCEEFF" w:val="clear"/>
            <w:vAlign w:val="center"/>
          </w:tcPr>
          <w:p>
            <w:pPr>
              <w:pStyle w:val="TableContents"/>
              <w:bidi w:val="0"/>
              <w:spacing w:before="0" w:after="283"/>
              <w:jc w:val="left"/>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w:t>
            </w:r>
          </w:p>
        </w:tc>
        <w:tc>
          <w:tcPr>
            <w:tcW w:w="112"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w:t>
            </w:r>
          </w:p>
        </w:tc>
        <w:tc>
          <w:tcPr>
            <w:tcW w:w="350" w:type="dxa"/>
            <w:tcBorders/>
            <w:shd w:fill="FFFFFF" w:val="clear"/>
            <w:vAlign w:val="center"/>
          </w:tcPr>
          <w:p>
            <w:pPr>
              <w:pStyle w:val="TableContents"/>
              <w:bidi w:val="0"/>
              <w:spacing w:before="0" w:after="283"/>
              <w:jc w:val="left"/>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18,126</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w:t>
            </w:r>
          </w:p>
        </w:tc>
        <w:tc>
          <w:tcPr>
            <w:tcW w:w="112" w:type="dxa"/>
            <w:tcBorders/>
            <w:shd w:fill="CCEEFF" w:val="clear"/>
            <w:vAlign w:val="center"/>
          </w:tcPr>
          <w:p>
            <w:pPr>
              <w:pStyle w:val="TableContents"/>
              <w:bidi w:val="0"/>
              <w:spacing w:before="0" w:after="283"/>
              <w:ind w:left="0" w:right="0" w:hanging="200"/>
              <w:jc w:val="left"/>
              <w:rPr/>
            </w:pPr>
            <w:r>
              <w:rPr/>
              <w:t>)</w:t>
            </w:r>
          </w:p>
        </w:tc>
      </w:tr>
      <w:tr>
        <w:trPr/>
        <w:tc>
          <w:tcPr>
            <w:tcW w:w="158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2,332,912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(615,756</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215,826</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5,853,479</w:t>
            </w:r>
          </w:p>
        </w:tc>
        <w:tc>
          <w:tcPr>
            <w:tcW w:w="112"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2,853,348</w:t>
            </w:r>
          </w:p>
        </w:tc>
        <w:tc>
          <w:tcPr>
            <w:tcW w:w="335" w:type="dxa"/>
            <w:tcBorders/>
            <w:shd w:fill="CCEEFF" w:val="clear"/>
            <w:vAlign w:val="center"/>
          </w:tcPr>
          <w:p>
            <w:pPr>
              <w:pStyle w:val="TableContents"/>
              <w:bidi w:val="0"/>
              <w:spacing w:before="0" w:after="283"/>
              <w:jc w:val="left"/>
              <w:rPr/>
            </w:pPr>
            <w:r>
              <w:rPr/>
              <w:t>(B)</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451,393</w:t>
            </w:r>
          </w:p>
        </w:tc>
        <w:tc>
          <w:tcPr>
            <w:tcW w:w="350" w:type="dxa"/>
            <w:tcBorders/>
            <w:shd w:fill="CCEEFF" w:val="clear"/>
            <w:vAlign w:val="center"/>
          </w:tcPr>
          <w:p>
            <w:pPr>
              <w:pStyle w:val="TableContents"/>
              <w:bidi w:val="0"/>
              <w:spacing w:before="0" w:after="283"/>
              <w:jc w:val="left"/>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(270,637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270,637</w:t>
            </w:r>
          </w:p>
        </w:tc>
        <w:tc>
          <w:tcPr>
            <w:tcW w:w="335" w:type="dxa"/>
            <w:tcBorders/>
            <w:shd w:fill="FFFFFF" w:val="clear"/>
            <w:vAlign w:val="center"/>
          </w:tcPr>
          <w:p>
            <w:pPr>
              <w:pStyle w:val="TableContents"/>
              <w:bidi w:val="0"/>
              <w:spacing w:before="0" w:after="283"/>
              <w:jc w:val="left"/>
              <w:rPr/>
            </w:pPr>
            <w:r>
              <w:rPr/>
              <w:t>(B)</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(70,747</w:t>
            </w:r>
          </w:p>
        </w:tc>
        <w:tc>
          <w:tcPr>
            <w:tcW w:w="350" w:type="dxa"/>
            <w:tcBorders/>
            <w:shd w:fill="FFFFFF" w:val="clear"/>
            <w:vAlign w:val="center"/>
          </w:tcPr>
          <w:p>
            <w:pPr>
              <w:pStyle w:val="TableContents"/>
              <w:bidi w:val="0"/>
              <w:spacing w:before="0" w:after="283"/>
              <w:jc w:val="left"/>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(812,491</w:t>
            </w:r>
          </w:p>
        </w:tc>
        <w:tc>
          <w:tcPr>
            <w:tcW w:w="112" w:type="dxa"/>
            <w:tcBorders/>
            <w:shd w:fill="FFFFFF" w:val="clear"/>
            <w:vAlign w:val="center"/>
          </w:tcPr>
          <w:p>
            <w:pPr>
              <w:pStyle w:val="TableContents"/>
              <w:bidi w:val="0"/>
              <w:spacing w:before="0" w:after="283"/>
              <w:jc w:val="left"/>
              <w:rPr/>
            </w:pPr>
            <w:r>
              <w:rPr/>
              <w:t>)</w:t>
            </w:r>
          </w:p>
        </w:tc>
      </w:tr>
      <w:tr>
        <w:trPr/>
        <w:tc>
          <w:tcPr>
            <w:tcW w:w="1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(113,000</w:t>
            </w:r>
          </w:p>
        </w:tc>
        <w:tc>
          <w:tcPr>
            <w:tcW w:w="335" w:type="dxa"/>
            <w:tcBorders/>
            <w:shd w:fill="CCEEFF" w:val="clear"/>
            <w:vAlign w:val="center"/>
          </w:tcPr>
          <w:p>
            <w:pPr>
              <w:pStyle w:val="TableContents"/>
              <w:bidi w:val="0"/>
              <w:spacing w:before="0" w:after="283"/>
              <w:jc w:val="left"/>
              <w:rPr/>
            </w:pPr>
            <w:r>
              <w:rPr/>
              <w:t>)(C)</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(174,395</w:t>
            </w:r>
          </w:p>
        </w:tc>
        <w:tc>
          <w:tcPr>
            <w:tcW w:w="350" w:type="dxa"/>
            <w:tcBorders/>
            <w:shd w:fill="CCEEFF" w:val="clear"/>
            <w:vAlign w:val="center"/>
          </w:tcPr>
          <w:p>
            <w:pPr>
              <w:pStyle w:val="TableContents"/>
              <w:bidi w:val="0"/>
              <w:spacing w:before="0" w:after="283"/>
              <w:jc w:val="left"/>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574</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158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1,878,959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326,993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2,413,371</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422,080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5,041,403</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1583"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2,134,839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748,461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pPr>
            <w:r>
              <w:rPr/>
              <w:t>3,547,825</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707,862</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7,138,987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Three Months Ended March 31, 2026</w:t>
        <w:b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760" w:type="dxa"/>
        <w:jc w:val="left"/>
        <w:tblInd w:w="0" w:type="dxa"/>
        <w:tblLayout w:type="fixed"/>
        <w:tblCellMar>
          <w:top w:w="0" w:type="dxa"/>
          <w:left w:w="0" w:type="dxa"/>
          <w:bottom w:w="0" w:type="dxa"/>
          <w:right w:w="0" w:type="dxa"/>
        </w:tblCellMar>
      </w:tblPr>
      <w:tblGrid>
        <w:gridCol w:w="1490"/>
        <w:gridCol w:w="60"/>
        <w:gridCol w:w="148"/>
        <w:gridCol w:w="847"/>
        <w:gridCol w:w="95"/>
        <w:gridCol w:w="60"/>
        <w:gridCol w:w="148"/>
        <w:gridCol w:w="847"/>
        <w:gridCol w:w="95"/>
        <w:gridCol w:w="60"/>
        <w:gridCol w:w="236"/>
        <w:gridCol w:w="1074"/>
        <w:gridCol w:w="530"/>
        <w:gridCol w:w="60"/>
        <w:gridCol w:w="236"/>
        <w:gridCol w:w="1074"/>
        <w:gridCol w:w="455"/>
        <w:gridCol w:w="60"/>
        <w:gridCol w:w="242"/>
        <w:gridCol w:w="1098"/>
        <w:gridCol w:w="530"/>
        <w:gridCol w:w="60"/>
        <w:gridCol w:w="170"/>
        <w:gridCol w:w="975"/>
        <w:gridCol w:w="11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USAR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SVRE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Presentation </w:t>
              <w:br/>
              <w:t>Adjustments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Transaction </w:t>
              <w:br/>
              <w:t xml:space="preserve">Accounting </w:t>
              <w:br/>
              <w:t>Adjustments</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 xml:space="preserve">Material </w:t>
              <w:br/>
              <w:t>Transactions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110" w:type="dxa"/>
            <w:tcBorders/>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6,286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5,592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5,009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10,601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(4,315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21,175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8,026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1,219</w:t>
            </w:r>
          </w:p>
        </w:tc>
        <w:tc>
          <w:tcPr>
            <w:tcW w:w="455" w:type="dxa"/>
            <w:tcBorders/>
            <w:shd w:fill="CCEEFF" w:val="clear"/>
            <w:vAlign w:val="center"/>
          </w:tcPr>
          <w:p>
            <w:pPr>
              <w:pStyle w:val="TableContents"/>
              <w:bidi w:val="0"/>
              <w:spacing w:before="0" w:after="283"/>
              <w:jc w:val="left"/>
              <w:rPr/>
            </w:pPr>
            <w:r>
              <w:rPr/>
              <w:t>(DD)</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30,766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 xml:space="preserve">Research and </w:t>
              <w:br/>
              <w:t>development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14,249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14,249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1,357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Other expenses,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2,365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36,781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10,391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1,219</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48,737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 xml:space="preserve">Loss from </w:t>
              <w:br/>
              <w:t>operations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(36,675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(14,812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(346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(53,052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 xml:space="preserve">Other (expense) income, </w:t>
              <w:br/>
              <w:t>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Interest and dividend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12,145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Loss on fair market </w:t>
              <w:br/>
              <w:t xml:space="preserve">value of financial </w:t>
              <w:br/>
              <w:t>instruments,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(43,553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(6,216</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6,216</w:t>
            </w:r>
          </w:p>
        </w:tc>
        <w:tc>
          <w:tcPr>
            <w:tcW w:w="530" w:type="dxa"/>
            <w:tcBorders/>
            <w:shd w:fill="CCEEFF" w:val="clear"/>
            <w:vAlign w:val="center"/>
          </w:tcPr>
          <w:p>
            <w:pPr>
              <w:pStyle w:val="TableContents"/>
              <w:bidi w:val="0"/>
              <w:spacing w:before="0" w:after="283"/>
              <w:jc w:val="left"/>
              <w:rPr/>
            </w:pPr>
            <w:r>
              <w:rPr/>
              <w:t>(EE)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(43,553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Interest expense and other loss,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(12,218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6,562</w:t>
            </w:r>
          </w:p>
        </w:tc>
        <w:tc>
          <w:tcPr>
            <w:tcW w:w="530" w:type="dxa"/>
            <w:tcBorders/>
            <w:shd w:fill="FFFFFF" w:val="clear"/>
            <w:vAlign w:val="center"/>
          </w:tcPr>
          <w:p>
            <w:pPr>
              <w:pStyle w:val="TableContents"/>
              <w:bidi w:val="0"/>
              <w:spacing w:before="0" w:after="283"/>
              <w:jc w:val="left"/>
              <w:rPr/>
            </w:pPr>
            <w:r>
              <w:rPr/>
              <w:t>(AA)</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2,276</w:t>
            </w:r>
          </w:p>
        </w:tc>
        <w:tc>
          <w:tcPr>
            <w:tcW w:w="530" w:type="dxa"/>
            <w:tcBorders/>
            <w:shd w:fill="FFFFFF" w:val="clear"/>
            <w:vAlign w:val="center"/>
          </w:tcPr>
          <w:p>
            <w:pPr>
              <w:pStyle w:val="TableContents"/>
              <w:bidi w:val="0"/>
              <w:spacing w:before="0" w:after="283"/>
              <w:jc w:val="left"/>
              <w:rPr/>
            </w:pPr>
            <w:r>
              <w:rPr/>
              <w:t>(FF)</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(6,547</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(4,028</w:t>
            </w:r>
          </w:p>
        </w:tc>
        <w:tc>
          <w:tcPr>
            <w:tcW w:w="530" w:type="dxa"/>
            <w:tcBorders/>
            <w:shd w:fill="CCEEFF" w:val="clear"/>
            <w:vAlign w:val="center"/>
          </w:tcPr>
          <w:p>
            <w:pPr>
              <w:pStyle w:val="TableContents"/>
              <w:bidi w:val="0"/>
              <w:spacing w:before="0" w:after="283"/>
              <w:jc w:val="left"/>
              <w:rPr/>
            </w:pPr>
            <w:r>
              <w:rPr/>
              <w:t>)(GG)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1,454</w:t>
            </w:r>
          </w:p>
        </w:tc>
        <w:tc>
          <w:tcPr>
            <w:tcW w:w="530" w:type="dxa"/>
            <w:tcBorders/>
            <w:shd w:fill="FFFFFF" w:val="clear"/>
            <w:vAlign w:val="center"/>
          </w:tcPr>
          <w:p>
            <w:pPr>
              <w:pStyle w:val="TableContents"/>
              <w:bidi w:val="0"/>
              <w:spacing w:before="0" w:after="283"/>
              <w:jc w:val="left"/>
              <w:rPr/>
            </w:pPr>
            <w:r>
              <w:rPr/>
              <w:t>(HH)</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Grant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Foreign currency exchange,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15,800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Total other expense, </w:t>
              <w:br/>
              <w:t>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(31,970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3,757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346</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5,918</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(21,949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Loss before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(68,645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(75,001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(577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(68,068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(74,424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(1,079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(1,079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(66,989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(1,219</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pPr>
            <w:r>
              <w:rPr/>
              <w:t>5,918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FFFFFF" w:val="clear"/>
            <w:tcMar>
              <w:bottom w:w="28" w:type="dxa"/>
            </w:tcMar>
            <w:vAlign w:val="center"/>
          </w:tcPr>
          <w:p>
            <w:pPr>
              <w:pStyle w:val="TableContents"/>
              <w:bidi w:val="0"/>
              <w:spacing w:before="0" w:after="283"/>
              <w:jc w:val="right"/>
              <w:rPr/>
            </w:pPr>
            <w:r>
              <w:rPr/>
              <w:t>(73,345</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Net loss per share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(0.21</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Number of shares used in per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196,479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193,429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349,561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Year Ended December 31, 2025</w:t>
        <w:b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780" w:type="dxa"/>
        <w:jc w:val="left"/>
        <w:tblInd w:w="0" w:type="dxa"/>
        <w:tblLayout w:type="fixed"/>
        <w:tblCellMar>
          <w:top w:w="0" w:type="dxa"/>
          <w:left w:w="0" w:type="dxa"/>
          <w:bottom w:w="0" w:type="dxa"/>
          <w:right w:w="0" w:type="dxa"/>
        </w:tblCellMar>
      </w:tblPr>
      <w:tblGrid>
        <w:gridCol w:w="1490"/>
        <w:gridCol w:w="60"/>
        <w:gridCol w:w="140"/>
        <w:gridCol w:w="875"/>
        <w:gridCol w:w="95"/>
        <w:gridCol w:w="60"/>
        <w:gridCol w:w="148"/>
        <w:gridCol w:w="847"/>
        <w:gridCol w:w="95"/>
        <w:gridCol w:w="60"/>
        <w:gridCol w:w="236"/>
        <w:gridCol w:w="1074"/>
        <w:gridCol w:w="530"/>
        <w:gridCol w:w="60"/>
        <w:gridCol w:w="180"/>
        <w:gridCol w:w="1130"/>
        <w:gridCol w:w="455"/>
        <w:gridCol w:w="60"/>
        <w:gridCol w:w="209"/>
        <w:gridCol w:w="1131"/>
        <w:gridCol w:w="530"/>
        <w:gridCol w:w="60"/>
        <w:gridCol w:w="157"/>
        <w:gridCol w:w="988"/>
        <w:gridCol w:w="11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USAR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SVRE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Presentation </w:t>
              <w:br/>
              <w:t>Adjustments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Transaction </w:t>
              <w:br/>
              <w:t xml:space="preserve">Accounting </w:t>
              <w:br/>
              <w:t>Adjustments</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 xml:space="preserve">Material </w:t>
              <w:br/>
              <w:t>Transactions</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110" w:type="dxa"/>
            <w:tcBorders/>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4,129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36,105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37,553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(33,619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(33,424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25,803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113,000</w:t>
            </w:r>
          </w:p>
        </w:tc>
        <w:tc>
          <w:tcPr>
            <w:tcW w:w="455" w:type="dxa"/>
            <w:tcBorders/>
            <w:shd w:fill="CCEEFF" w:val="clear"/>
            <w:vAlign w:val="center"/>
          </w:tcPr>
          <w:p>
            <w:pPr>
              <w:pStyle w:val="TableContents"/>
              <w:bidi w:val="0"/>
              <w:spacing w:before="0" w:after="283"/>
              <w:jc w:val="left"/>
              <w:rPr/>
            </w:pPr>
            <w:r>
              <w:rPr/>
              <w:t>(CC)</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192,609</w:t>
            </w:r>
          </w:p>
        </w:tc>
        <w:tc>
          <w:tcPr>
            <w:tcW w:w="11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10,393</w:t>
            </w:r>
          </w:p>
        </w:tc>
        <w:tc>
          <w:tcPr>
            <w:tcW w:w="455" w:type="dxa"/>
            <w:tcBorders/>
            <w:shd w:fill="FFFFFF" w:val="clear"/>
            <w:vAlign w:val="center"/>
          </w:tcPr>
          <w:p>
            <w:pPr>
              <w:pStyle w:val="TableContents"/>
              <w:bidi w:val="0"/>
              <w:spacing w:before="0" w:after="283"/>
              <w:jc w:val="left"/>
              <w:rPr/>
            </w:pPr>
            <w:r>
              <w:rPr/>
              <w:t>(DD)</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15,885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678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1,440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59,698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27,243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210,612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(60,862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(123,393</w:t>
            </w:r>
          </w:p>
        </w:tc>
        <w:tc>
          <w:tcPr>
            <w:tcW w:w="4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(244,036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 xml:space="preserve">Interest and dividend </w:t>
              <w:br/>
              <w:t>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8,117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Loss on fair market value of financial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(244,488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(7,652</w:t>
            </w:r>
          </w:p>
        </w:tc>
        <w:tc>
          <w:tcPr>
            <w:tcW w:w="530" w:type="dxa"/>
            <w:tcBorders/>
            <w:shd w:fill="FFFFFF" w:val="clear"/>
            <w:vAlign w:val="center"/>
          </w:tcPr>
          <w:p>
            <w:pPr>
              <w:pStyle w:val="TableContents"/>
              <w:bidi w:val="0"/>
              <w:spacing w:before="0" w:after="283"/>
              <w:jc w:val="left"/>
              <w:rPr/>
            </w:pPr>
            <w:r>
              <w:rPr/>
              <w:t>)(AA)</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7,652</w:t>
            </w:r>
          </w:p>
        </w:tc>
        <w:tc>
          <w:tcPr>
            <w:tcW w:w="530" w:type="dxa"/>
            <w:tcBorders/>
            <w:shd w:fill="FFFFFF" w:val="clear"/>
            <w:vAlign w:val="center"/>
          </w:tcPr>
          <w:p>
            <w:pPr>
              <w:pStyle w:val="TableContents"/>
              <w:bidi w:val="0"/>
              <w:spacing w:before="0" w:after="283"/>
              <w:jc w:val="left"/>
              <w:rPr/>
            </w:pPr>
            <w:r>
              <w:rPr/>
              <w:t>(EE)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(244,488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Interest expense and other income (loss),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(9,873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7,930</w:t>
            </w:r>
          </w:p>
        </w:tc>
        <w:tc>
          <w:tcPr>
            <w:tcW w:w="530" w:type="dxa"/>
            <w:tcBorders/>
            <w:shd w:fill="CCEEFF" w:val="clear"/>
            <w:vAlign w:val="center"/>
          </w:tcPr>
          <w:p>
            <w:pPr>
              <w:pStyle w:val="TableContents"/>
              <w:bidi w:val="0"/>
              <w:spacing w:before="0" w:after="283"/>
              <w:jc w:val="left"/>
              <w:rPr/>
            </w:pPr>
            <w:r>
              <w:rPr/>
              <w:t>(AA)</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4,268</w:t>
            </w:r>
          </w:p>
        </w:tc>
        <w:tc>
          <w:tcPr>
            <w:tcW w:w="530" w:type="dxa"/>
            <w:tcBorders/>
            <w:shd w:fill="CCEEFF" w:val="clear"/>
            <w:vAlign w:val="center"/>
          </w:tcPr>
          <w:p>
            <w:pPr>
              <w:pStyle w:val="TableContents"/>
              <w:bidi w:val="0"/>
              <w:spacing w:before="0" w:after="283"/>
              <w:jc w:val="left"/>
              <w:rPr/>
            </w:pPr>
            <w:r>
              <w:rPr/>
              <w:t>(FF)</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(23,320</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(26,206</w:t>
            </w:r>
          </w:p>
        </w:tc>
        <w:tc>
          <w:tcPr>
            <w:tcW w:w="530" w:type="dxa"/>
            <w:tcBorders/>
            <w:shd w:fill="FFFFFF" w:val="clear"/>
            <w:vAlign w:val="center"/>
          </w:tcPr>
          <w:p>
            <w:pPr>
              <w:pStyle w:val="TableContents"/>
              <w:bidi w:val="0"/>
              <w:spacing w:before="0" w:after="283"/>
              <w:jc w:val="left"/>
              <w:rPr/>
            </w:pPr>
            <w:r>
              <w:rPr/>
              <w:t>)(GG)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700</w:t>
            </w:r>
          </w:p>
        </w:tc>
        <w:tc>
          <w:tcPr>
            <w:tcW w:w="530" w:type="dxa"/>
            <w:tcBorders/>
            <w:shd w:fill="CCEEFF" w:val="clear"/>
            <w:vAlign w:val="center"/>
          </w:tcPr>
          <w:p>
            <w:pPr>
              <w:pStyle w:val="TableContents"/>
              <w:bidi w:val="0"/>
              <w:spacing w:before="0" w:after="283"/>
              <w:jc w:val="left"/>
              <w:rPr/>
            </w:pPr>
            <w:r>
              <w:rPr/>
              <w:t>(HH)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Foreign currency exchange,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49,532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49,532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(239,181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42,330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(13,586</w:t>
            </w:r>
          </w:p>
        </w:tc>
        <w:tc>
          <w:tcPr>
            <w:tcW w:w="5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(210,159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(298,684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(454,195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(298,524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(454,035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490" w:type="dxa"/>
            <w:tcBorders/>
            <w:shd w:fill="CCEEFF" w:val="clear"/>
            <w:vAlign w:val="center"/>
          </w:tcPr>
          <w:p>
            <w:pPr>
              <w:pStyle w:val="TableContents"/>
              <w:bidi w:val="0"/>
              <w:spacing w:before="0" w:after="283"/>
              <w:jc w:val="left"/>
              <w:rPr/>
            </w:pPr>
            <w:r>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490" w:type="dxa"/>
            <w:tcBorders/>
            <w:shd w:fill="FFFFFF" w:val="clear"/>
            <w:vAlign w:val="center"/>
          </w:tcPr>
          <w:p>
            <w:pPr>
              <w:pStyle w:val="TableContents"/>
              <w:bidi w:val="0"/>
              <w:spacing w:before="0" w:after="283"/>
              <w:jc w:val="left"/>
              <w:rPr/>
            </w:pPr>
            <w:r>
              <w:rPr/>
              <w:t>Net loss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(297,559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10" w:space="0" w:color="000000"/>
            </w:tcBorders>
            <w:shd w:fill="FFFFFF" w:val="clear"/>
            <w:tcMar>
              <w:bottom w:w="28" w:type="dxa"/>
            </w:tcMar>
            <w:vAlign w:val="center"/>
          </w:tcPr>
          <w:p>
            <w:pPr>
              <w:pStyle w:val="TableContents"/>
              <w:bidi w:val="0"/>
              <w:spacing w:before="0" w:after="283"/>
              <w:jc w:val="right"/>
              <w:rPr/>
            </w:pPr>
            <w:r>
              <w:rPr/>
              <w:t>(18,532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(123,393</w:t>
            </w:r>
          </w:p>
        </w:tc>
        <w:tc>
          <w:tcPr>
            <w:tcW w:w="4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shd w:fill="FFFFFF" w:val="clear"/>
            <w:tcMar>
              <w:bottom w:w="28" w:type="dxa"/>
            </w:tcMar>
            <w:vAlign w:val="center"/>
          </w:tcPr>
          <w:p>
            <w:pPr>
              <w:pStyle w:val="TableContents"/>
              <w:bidi w:val="0"/>
              <w:spacing w:before="0" w:after="283"/>
              <w:jc w:val="right"/>
              <w:rPr/>
            </w:pPr>
            <w:r>
              <w:rPr/>
              <w:t>(13,586</w:t>
            </w:r>
          </w:p>
        </w:tc>
        <w:tc>
          <w:tcPr>
            <w:tcW w:w="5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FFFFFF" w:val="clear"/>
            <w:tcMar>
              <w:bottom w:w="28" w:type="dxa"/>
            </w:tcMar>
            <w:vAlign w:val="center"/>
          </w:tcPr>
          <w:p>
            <w:pPr>
              <w:pStyle w:val="TableContents"/>
              <w:bidi w:val="0"/>
              <w:spacing w:before="0" w:after="283"/>
              <w:jc w:val="right"/>
              <w:rPr/>
            </w:pPr>
            <w:r>
              <w:rPr/>
              <w:t>(453,070</w:t>
            </w:r>
          </w:p>
        </w:tc>
        <w:tc>
          <w:tcPr>
            <w:tcW w:w="110" w:type="dxa"/>
            <w:tcBorders/>
            <w:shd w:fill="FFFFFF" w:val="clear"/>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Net loss per share attributable to USA Rare Earth,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left"/>
              <w:rPr/>
            </w:pPr>
            <w:r>
              <w:rPr/>
              <w:t>Number of shares used in per share calculations: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98,021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193,429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310,771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refer to the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represent management’s estimates based on information available as of the date of the Form 8-K in which these pro forma financial statements are included and are subject to change as additional information becomes available and additional analyses are performed.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Adjustments to the Unaudited Pro Forma Condensed Combined Balance Sheet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balance sheet as of March 31, 2026 are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reclassification adjustments to conform SVRE’s historical balances to the financial statement presentation of USAR.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fair value of the assets acquired and the liabilities assumed by USAR in the Merger, reconciled to the estimated purchase consideration (in thousands):</w:t>
      </w:r>
    </w:p>
    <w:p>
      <w:pPr>
        <w:pStyle w:val="TextBody"/>
        <w:bidi w:val="0"/>
        <w:spacing w:before="0" w:after="0"/>
        <w:ind w:left="960" w:right="0" w:hanging="0"/>
        <w:jc w:val="left"/>
        <w:rPr>
          <w:caps w:val="false"/>
          <w:smallCaps w:val="false"/>
        </w:rPr>
      </w:pPr>
      <w:r>
        <w:rPr>
          <w:caps w:val="false"/>
          <w:smallCaps w:val="false"/>
        </w:rPr>
        <w:t> </w:t>
      </w:r>
    </w:p>
    <w:tbl>
      <w:tblPr>
        <w:tblW w:w="6419" w:type="dxa"/>
        <w:jc w:val="left"/>
        <w:tblInd w:w="0" w:type="dxa"/>
        <w:tblLayout w:type="fixed"/>
        <w:tblCellMar>
          <w:top w:w="0" w:type="dxa"/>
          <w:left w:w="0" w:type="dxa"/>
          <w:bottom w:w="28" w:type="dxa"/>
          <w:right w:w="0" w:type="dxa"/>
        </w:tblCellMar>
      </w:tblPr>
      <w:tblGrid>
        <w:gridCol w:w="4955"/>
        <w:gridCol w:w="60"/>
        <w:gridCol w:w="161"/>
        <w:gridCol w:w="1133"/>
        <w:gridCol w:w="110"/>
      </w:tblGrid>
      <w:tr>
        <w:trPr/>
        <w:tc>
          <w:tcPr>
            <w:tcW w:w="4955" w:type="dxa"/>
            <w:tcBorders>
              <w:bottom w:val="single" w:sz="12" w:space="0" w:color="000000"/>
            </w:tcBorders>
            <w:vAlign w:val="center"/>
          </w:tcPr>
          <w:p>
            <w:pPr>
              <w:pStyle w:val="TableContents"/>
              <w:bidi w:val="0"/>
              <w:spacing w:before="0" w:after="283"/>
              <w:jc w:val="left"/>
              <w:rPr>
                <w:b/>
              </w:rPr>
            </w:pPr>
            <w:r>
              <w:rPr>
                <w:b/>
              </w:rPr>
              <w:t>Net Assets Identified</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 xml:space="preserve">Preliminary </w:t>
              <w:br/>
              <w:t xml:space="preserve">Estimate of </w:t>
              <w:br/>
              <w:t>Fair Value</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133" w:type="dxa"/>
            <w:tcBorders/>
            <w:shd w:fill="CCEEFF" w:val="clear"/>
            <w:tcMar>
              <w:bottom w:w="0" w:type="dxa"/>
            </w:tcMar>
            <w:vAlign w:val="center"/>
          </w:tcPr>
          <w:p>
            <w:pPr>
              <w:pStyle w:val="TableContents"/>
              <w:bidi w:val="0"/>
              <w:spacing w:before="0" w:after="283"/>
              <w:jc w:val="right"/>
              <w:rPr/>
            </w:pPr>
            <w:r>
              <w:rPr/>
              <w:t>209,417</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Accounts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31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Inventories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21,231</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4,001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 (incl. mineral interests)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3,122,879</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intangible assets, net</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246,691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193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(8,945</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(13,635</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Tax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(414</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agreement – current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(11,443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DFC loan,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(2,232</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Finance lease,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(933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agreement – noncurrent</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(215,415</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DFC loan,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(297,009</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Asset retirement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(4,738</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Finance leases,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(180</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pPr>
            <w:r>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(1,564</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3" w:type="dxa"/>
            <w:tcBorders>
              <w:bottom w:val="single" w:sz="12" w:space="0" w:color="000000"/>
            </w:tcBorders>
            <w:shd w:fill="CCEEFF" w:val="clear"/>
            <w:vAlign w:val="center"/>
          </w:tcPr>
          <w:p>
            <w:pPr>
              <w:pStyle w:val="TableContents"/>
              <w:bidi w:val="0"/>
              <w:spacing w:before="0" w:after="283"/>
              <w:jc w:val="right"/>
              <w:rPr/>
            </w:pPr>
            <w:r>
              <w:rPr/>
              <w:t>(886,414</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955" w:type="dxa"/>
            <w:tcBorders/>
            <w:shd w:fill="FFFFFF" w:val="clear"/>
            <w:tcMar>
              <w:bottom w:w="0" w:type="dxa"/>
            </w:tcMar>
            <w:vAlign w:val="center"/>
          </w:tcPr>
          <w:p>
            <w:pPr>
              <w:pStyle w:val="TableContents"/>
              <w:bidi w:val="0"/>
              <w:spacing w:before="0" w:after="283"/>
              <w:jc w:val="left"/>
              <w:rPr>
                <w:b/>
              </w:rPr>
            </w:pPr>
            <w:r>
              <w:rPr>
                <w:b/>
              </w:rPr>
              <w:t>Total net assets identified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w:t>
            </w:r>
          </w:p>
        </w:tc>
        <w:tc>
          <w:tcPr>
            <w:tcW w:w="1133" w:type="dxa"/>
            <w:tcBorders/>
            <w:shd w:fill="FFFFFF" w:val="clear"/>
            <w:tcMar>
              <w:bottom w:w="0" w:type="dxa"/>
            </w:tcMar>
            <w:vAlign w:val="center"/>
          </w:tcPr>
          <w:p>
            <w:pPr>
              <w:pStyle w:val="TableContents"/>
              <w:bidi w:val="0"/>
              <w:spacing w:before="0" w:after="283"/>
              <w:jc w:val="right"/>
              <w:rPr/>
            </w:pPr>
            <w:r>
              <w:rPr/>
              <w:t>2,161,521</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3" w:type="dxa"/>
            <w:tcBorders>
              <w:bottom w:val="single" w:sz="12" w:space="0" w:color="000000"/>
            </w:tcBorders>
            <w:shd w:fill="CCEEFF" w:val="clear"/>
            <w:vAlign w:val="center"/>
          </w:tcPr>
          <w:p>
            <w:pPr>
              <w:pStyle w:val="TableContents"/>
              <w:bidi w:val="0"/>
              <w:spacing w:before="0" w:after="283"/>
              <w:jc w:val="right"/>
              <w:rPr/>
            </w:pPr>
            <w:r>
              <w:rPr/>
              <w:t>991,843</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955" w:type="dxa"/>
            <w:tcBorders/>
            <w:shd w:fill="FFFFFF" w:val="clear"/>
            <w:tcMar>
              <w:bottom w:w="0" w:type="dxa"/>
            </w:tcMar>
            <w:vAlign w:val="center"/>
          </w:tcPr>
          <w:p>
            <w:pPr>
              <w:pStyle w:val="TableContents"/>
              <w:bidi w:val="0"/>
              <w:spacing w:before="0" w:after="283"/>
              <w:jc w:val="left"/>
              <w:rPr>
                <w:b/>
              </w:rPr>
            </w:pPr>
            <w:r>
              <w:rPr>
                <w:b/>
              </w:rPr>
              <w:t>Total purchase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133" w:type="dxa"/>
            <w:tcBorders>
              <w:bottom w:val="double" w:sz="10" w:space="0" w:color="000000"/>
            </w:tcBorders>
            <w:shd w:fill="FFFFFF" w:val="clear"/>
            <w:vAlign w:val="center"/>
          </w:tcPr>
          <w:p>
            <w:pPr>
              <w:pStyle w:val="TableContents"/>
              <w:bidi w:val="0"/>
              <w:spacing w:before="0" w:after="283"/>
              <w:jc w:val="right"/>
              <w:rPr>
                <w:b/>
              </w:rPr>
            </w:pPr>
            <w:r>
              <w:rPr>
                <w:b/>
              </w:rPr>
              <w:t>3,153,364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5330"/>
        <w:gridCol w:w="60"/>
        <w:gridCol w:w="140"/>
        <w:gridCol w:w="980"/>
        <w:gridCol w:w="75"/>
      </w:tblGrid>
      <w:tr>
        <w:trPr/>
        <w:tc>
          <w:tcPr>
            <w:tcW w:w="5330" w:type="dxa"/>
            <w:tcBorders>
              <w:bottom w:val="single" w:sz="12" w:space="0" w:color="000000"/>
            </w:tcBorders>
            <w:vAlign w:val="center"/>
          </w:tcPr>
          <w:p>
            <w:pPr>
              <w:pStyle w:val="TableContents"/>
              <w:bidi w:val="0"/>
              <w:spacing w:before="0" w:after="283"/>
              <w:jc w:val="left"/>
              <w:rPr>
                <w:b/>
              </w:rPr>
            </w:pPr>
            <w:r>
              <w:rPr>
                <w:b/>
              </w:rPr>
              <w:t>Value Conveyed</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consideration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consideration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2,850,304</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Pre-combination expense for vested performance stock options</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3,060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330" w:type="dxa"/>
            <w:tcBorders/>
            <w:shd w:fill="FFFFFF" w:val="clear"/>
            <w:tcMar>
              <w:bottom w:w="0" w:type="dxa"/>
            </w:tcMar>
            <w:vAlign w:val="center"/>
          </w:tcPr>
          <w:p>
            <w:pPr>
              <w:pStyle w:val="TableContents"/>
              <w:bidi w:val="0"/>
              <w:spacing w:before="0" w:after="283"/>
              <w:jc w:val="left"/>
              <w:rPr>
                <w:b/>
              </w:rPr>
            </w:pPr>
            <w:r>
              <w:rPr>
                <w:b/>
              </w:rPr>
              <w:t>Total purchase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3,153,364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tc>
      </w:tr>
    </w:tbl>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reflects an increase in the fair value of the liability for royalty payments due to an increase in estimated future cash payments. The increase in estimated future cash payments is primarily related to the anticipated impact of the Offtake Agreement.</w:t>
            </w:r>
          </w:p>
        </w:tc>
      </w:tr>
    </w:tbl>
    <w:tbl>
      <w:tblPr>
        <w:tblW w:w="6153" w:type="dxa"/>
        <w:jc w:val="left"/>
        <w:tblInd w:w="0" w:type="dxa"/>
        <w:tblLayout w:type="fixed"/>
        <w:tblCellMar>
          <w:top w:w="0" w:type="dxa"/>
          <w:left w:w="0" w:type="dxa"/>
          <w:bottom w:w="0" w:type="dxa"/>
          <w:right w:w="0" w:type="dxa"/>
        </w:tblCellMar>
      </w:tblPr>
      <w:tblGrid>
        <w:gridCol w:w="38"/>
        <w:gridCol w:w="24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represents cash consideration paid to SVRE’s shareholders.</w:t>
            </w:r>
          </w:p>
        </w:tc>
      </w:tr>
    </w:tbl>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consideration is provided in the form of Common Stock of USAR and is calculated as 126,849,307 shares of USAR Common Stock to be issued to SVRE shareholders, multiplied by $22.47, the closing share price of USAR on June 5, 2026.</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effect of changes in USAR’s share price and the resulting impact on the estimated purchase consideration, and estimated goodwill:</w:t>
      </w:r>
    </w:p>
    <w:p>
      <w:pPr>
        <w:pStyle w:val="TextBody"/>
        <w:bidi w:val="0"/>
        <w:spacing w:before="0" w:after="0"/>
        <w:ind w:left="480" w:right="0" w:hanging="480"/>
        <w:jc w:val="left"/>
        <w:rPr>
          <w:caps w:val="false"/>
          <w:smallCaps w:val="false"/>
        </w:rPr>
      </w:pPr>
      <w:r>
        <w:rPr>
          <w:caps w:val="false"/>
          <w:smallCaps w:val="false"/>
        </w:rPr>
        <w:t> </w:t>
      </w:r>
    </w:p>
    <w:tbl>
      <w:tblPr>
        <w:tblW w:w="7373" w:type="dxa"/>
        <w:jc w:val="left"/>
        <w:tblInd w:w="0" w:type="dxa"/>
        <w:tblLayout w:type="fixed"/>
        <w:tblCellMar>
          <w:top w:w="0" w:type="dxa"/>
          <w:left w:w="0" w:type="dxa"/>
          <w:bottom w:w="28" w:type="dxa"/>
          <w:right w:w="0" w:type="dxa"/>
        </w:tblCellMar>
      </w:tblPr>
      <w:tblGrid>
        <w:gridCol w:w="3320"/>
        <w:gridCol w:w="60"/>
        <w:gridCol w:w="140"/>
        <w:gridCol w:w="560"/>
        <w:gridCol w:w="60"/>
        <w:gridCol w:w="60"/>
        <w:gridCol w:w="189"/>
        <w:gridCol w:w="1330"/>
        <w:gridCol w:w="60"/>
        <w:gridCol w:w="60"/>
        <w:gridCol w:w="182"/>
        <w:gridCol w:w="1277"/>
        <w:gridCol w:w="75"/>
      </w:tblGrid>
      <w:tr>
        <w:trPr/>
        <w:tc>
          <w:tcPr>
            <w:tcW w:w="3320" w:type="dxa"/>
            <w:tcBorders>
              <w:bottom w:val="single" w:sz="12" w:space="0" w:color="000000"/>
            </w:tcBorders>
            <w:vAlign w:val="center"/>
          </w:tcPr>
          <w:p>
            <w:pPr>
              <w:pStyle w:val="TableContents"/>
              <w:bidi w:val="0"/>
              <w:spacing w:before="0" w:after="283"/>
              <w:jc w:val="left"/>
              <w:rPr>
                <w:b/>
              </w:rPr>
            </w:pPr>
            <w:r>
              <w:rPr>
                <w:b/>
              </w:rPr>
              <w:t>Change in Share Price of USAR</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b/>
              </w:rPr>
            </w:pPr>
            <w:r>
              <w:rPr>
                <w:b/>
              </w:rPr>
              <w:t xml:space="preserve">Share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 xml:space="preserve">Estimated </w:t>
              <w:br/>
              <w:t xml:space="preserve">Purchase </w:t>
              <w:br/>
              <w:t xml:space="preserve">Consideration </w:t>
              <w:b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Estimated </w:t>
              <w:br/>
              <w:t xml:space="preserve">Goodwill </w:t>
              <w:br/>
              <w:t>(in thousands)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Increase of 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w:t>
            </w:r>
          </w:p>
        </w:tc>
        <w:tc>
          <w:tcPr>
            <w:tcW w:w="1330" w:type="dxa"/>
            <w:tcBorders/>
            <w:shd w:fill="CCEEFF" w:val="clear"/>
            <w:tcMar>
              <w:bottom w:w="0" w:type="dxa"/>
            </w:tcMar>
            <w:vAlign w:val="center"/>
          </w:tcPr>
          <w:p>
            <w:pPr>
              <w:pStyle w:val="TableContents"/>
              <w:bidi w:val="0"/>
              <w:spacing w:before="0" w:after="283"/>
              <w:jc w:val="right"/>
              <w:rPr/>
            </w:pPr>
            <w:r>
              <w:rPr/>
              <w:t>3,865,939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277" w:type="dxa"/>
            <w:tcBorders/>
            <w:shd w:fill="CCEEFF" w:val="clear"/>
            <w:tcMar>
              <w:bottom w:w="0" w:type="dxa"/>
            </w:tcMar>
            <w:vAlign w:val="center"/>
          </w:tcPr>
          <w:p>
            <w:pPr>
              <w:pStyle w:val="TableContents"/>
              <w:bidi w:val="0"/>
              <w:spacing w:before="0" w:after="283"/>
              <w:jc w:val="right"/>
              <w:rPr/>
            </w:pPr>
            <w:r>
              <w:rPr/>
              <w:t>1,704,419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20" w:type="dxa"/>
            <w:tcBorders/>
            <w:shd w:fill="FFFFFF" w:val="clear"/>
            <w:tcMar>
              <w:bottom w:w="0" w:type="dxa"/>
            </w:tcMar>
            <w:vAlign w:val="center"/>
          </w:tcPr>
          <w:p>
            <w:pPr>
              <w:pStyle w:val="TableContents"/>
              <w:bidi w:val="0"/>
              <w:spacing w:before="0" w:after="283"/>
              <w:jc w:val="left"/>
              <w:rPr/>
            </w:pPr>
            <w:r>
              <w:rPr/>
              <w:t>Decrease of 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pPr>
            <w:r>
              <w:rPr/>
              <w:t>2,440,787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279,267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reflects the pre-combination expense pertaining to options to purchase SVRE shares subject to performance-vesting conditions (the “Performance-Vesting Options”) which will be substituted with USAR time-vesting restricted stock units.</w:t>
            </w:r>
          </w:p>
        </w:tc>
      </w:tr>
    </w:tbl>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consolidated statement of operations and comprehensive income (loss) for the three and six months ended June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16,132,790 shares of USAR common stock, with a fair value of approximately $451.4 million to the DOC pursuant to the Securities Issuance Agreement dated June 3, 2026, as a condition precedent to the Direct Funding Agreement under the CHIPS Act. The deferred financing cost represents the deferred asset recoverable through the maximum direct funding award which is $277.0 million, and will commence amortization upon recognition of grant income under the Direct Funding Agreement. The $174.4 million difference between the fair value of the SIA shares and the deferred financing cost represents the cost of obtaining the Direct Funding Agreement which is presented as an increase to accumulated deficit.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issuance of the warrant to the DOC to purchase 17,600,584 shares of USAR common stock pursuant to the Warrant to Purchase Common Shares of USA Rare Earth, Inc Agreement dated June 3, 2026, as a condition precedent to the Loan Guarantee Agreement. The DOC Warrant’s initial fair value approximates $430.9 million. The corresponding deferred loan commitment asset recorded upon the issuance of the warrant to the DOC will be derecognized proportionately as a component of the related debt’s amortized cost basis as the debt is drawn, and will be amortized over the term of the debt using the effective interest method. The changes in fair value of the warrant liability will be recognized as a gain or loss within other income (expense), net in the Company’s condensed consolidated statements of operations and comprehensive income (loss).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Adjustments to the Unaudited Pro Forma Condensed Combined Statement of Operations for the three months ended March 31, 2026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statement of operations for the three months ended March 31, 2026 and for the year ended December 31, 2025 are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7"/>
        <w:gridCol w:w="9760"/>
      </w:tblGrid>
      <w:tr>
        <w:trPr/>
        <w:tc>
          <w:tcPr>
            <w:tcW w:w="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9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a reclassification adjustment to conform SVRE’s historical expenses to the financial statement presentation of USAR.</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97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w:t>
            </w:r>
          </w:p>
        </w:tc>
        <w:tc>
          <w:tcPr>
            <w:tcW w:w="97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c>
          <w:tcPr>
            <w:tcW w:w="9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w:t>
            </w:r>
          </w:p>
        </w:tc>
        <w:tc>
          <w:tcPr>
            <w:tcW w:w="98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w:t>
            </w:r>
          </w:p>
        </w:tc>
        <w:tc>
          <w:tcPr>
            <w:tcW w:w="98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9"/>
        <w:gridCol w:w="9788"/>
      </w:tblGrid>
      <w:tr>
        <w:trPr/>
        <w:tc>
          <w:tcPr>
            <w:tcW w:w="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(HH)</w:t>
            </w:r>
          </w:p>
        </w:tc>
        <w:tc>
          <w:tcPr>
            <w:tcW w:w="9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interest related to the OMF Credit Agreement in an amount equal to $1.5 million for the three months ended March 31, 2026 and $0.7 million for the year ended December 31, 2025 due to their repayment.</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Unaudited Pro Forma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net loss per share calculations have been performed for the three months ended March 31, 2026 and for the year ended December 31, 2025, assuming the Pro Forma Transactions had been consummated on January 1, 2025.</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1"/>
        <w:gridCol w:w="60"/>
        <w:gridCol w:w="282"/>
        <w:gridCol w:w="1616"/>
        <w:gridCol w:w="95"/>
        <w:gridCol w:w="60"/>
        <w:gridCol w:w="201"/>
        <w:gridCol w:w="1258"/>
        <w:gridCol w:w="112"/>
      </w:tblGrid>
      <w:tr>
        <w:trPr/>
        <w:tc>
          <w:tcPr>
            <w:tcW w:w="6521" w:type="dxa"/>
            <w:tcBorders>
              <w:bottom w:val="single" w:sz="12" w:space="0" w:color="000000"/>
            </w:tcBorders>
            <w:vAlign w:val="center"/>
          </w:tcPr>
          <w:p>
            <w:pPr>
              <w:pStyle w:val="TableContents"/>
              <w:bidi w:val="0"/>
              <w:spacing w:before="0" w:after="283"/>
              <w:jc w:val="left"/>
              <w:rPr>
                <w:b/>
                <w:i/>
              </w:rPr>
            </w:pPr>
            <w:r>
              <w:rPr>
                <w:b/>
                <w:i/>
              </w:rPr>
              <w:t>(in thousands except per share amounts)</w:t>
            </w:r>
          </w:p>
        </w:tc>
        <w:tc>
          <w:tcPr>
            <w:tcW w:w="60" w:type="dxa"/>
            <w:tcBorders/>
            <w:tcMar>
              <w:bottom w:w="0" w:type="dxa"/>
            </w:tcMar>
            <w:vAlign w:val="center"/>
          </w:tcPr>
          <w:p>
            <w:pPr>
              <w:pStyle w:val="TableContents"/>
              <w:bidi w:val="0"/>
              <w:spacing w:before="0" w:after="283"/>
              <w:jc w:val="left"/>
              <w:rPr/>
            </w:pPr>
            <w:r>
              <w:rPr/>
              <w:t> </w:t>
            </w:r>
          </w:p>
        </w:tc>
        <w:tc>
          <w:tcPr>
            <w:tcW w:w="1898" w:type="dxa"/>
            <w:gridSpan w:val="2"/>
            <w:tcBorders>
              <w:bottom w:val="single" w:sz="12" w:space="0" w:color="000000"/>
            </w:tcBorders>
            <w:vAlign w:val="center"/>
          </w:tcPr>
          <w:p>
            <w:pPr>
              <w:pStyle w:val="TableContents"/>
              <w:bidi w:val="0"/>
              <w:spacing w:before="0" w:after="283"/>
              <w:jc w:val="center"/>
              <w:rPr>
                <w:b/>
              </w:rPr>
            </w:pPr>
            <w:r>
              <w:rPr>
                <w:b/>
              </w:rPr>
              <w:t>For the</w:t>
              <w:br/>
              <w:t>Three Months Ended</w:t>
              <w:br/>
              <w:t xml:space="preserve">March 31,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Year Ended </w:t>
              <w:br/>
              <w:t xml:space="preserve">December 31, </w:t>
              <w:br/>
              <w:t>2025</w:t>
            </w:r>
          </w:p>
        </w:tc>
        <w:tc>
          <w:tcPr>
            <w:tcW w:w="112" w:type="dxa"/>
            <w:tcBorders/>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b/>
              </w:rPr>
            </w:pPr>
            <w:r>
              <w:rPr>
                <w:b/>
              </w:rPr>
              <w:t>Numerator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Pro forma net loss attributable to USA Rare Earth,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w:t>
            </w:r>
          </w:p>
        </w:tc>
        <w:tc>
          <w:tcPr>
            <w:tcW w:w="1616" w:type="dxa"/>
            <w:tcBorders/>
            <w:shd w:fill="CCEEFF" w:val="clear"/>
            <w:tcMar>
              <w:bottom w:w="0" w:type="dxa"/>
            </w:tcMar>
            <w:vAlign w:val="center"/>
          </w:tcPr>
          <w:p>
            <w:pPr>
              <w:pStyle w:val="TableContents"/>
              <w:bidi w:val="0"/>
              <w:spacing w:before="0" w:after="283"/>
              <w:jc w:val="right"/>
              <w:rPr/>
            </w:pPr>
            <w:r>
              <w:rPr/>
              <w:t>(73,345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258" w:type="dxa"/>
            <w:tcBorders/>
            <w:shd w:fill="CCEEFF" w:val="clear"/>
            <w:tcMar>
              <w:bottom w:w="0" w:type="dxa"/>
            </w:tcMar>
            <w:vAlign w:val="center"/>
          </w:tcPr>
          <w:p>
            <w:pPr>
              <w:pStyle w:val="TableContents"/>
              <w:bidi w:val="0"/>
              <w:spacing w:before="0" w:after="283"/>
              <w:jc w:val="right"/>
              <w:rPr/>
            </w:pPr>
            <w:r>
              <w:rPr/>
              <w:t>(453,070</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6521" w:type="dxa"/>
            <w:tcBorders/>
            <w:shd w:fill="FFFFFF" w:val="clear"/>
            <w:tcMar>
              <w:bottom w:w="0" w:type="dxa"/>
            </w:tcMar>
            <w:vAlign w:val="center"/>
          </w:tcPr>
          <w:p>
            <w:pPr>
              <w:pStyle w:val="TableContents"/>
              <w:bidi w:val="0"/>
              <w:spacing w:before="0" w:after="283"/>
              <w:jc w:val="left"/>
              <w:rPr/>
            </w:pPr>
            <w:r>
              <w:rPr/>
              <w:t>Declared and deemed dividends, and interest accretion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FFFFFF" w:val="cle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right"/>
              <w:rPr/>
            </w:pPr>
            <w:r>
              <w:rPr/>
              <w:t>(709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258" w:type="dxa"/>
            <w:tcBorders>
              <w:bottom w:val="single" w:sz="12" w:space="0" w:color="000000"/>
            </w:tcBorders>
            <w:shd w:fill="FFFFFF" w:val="clear"/>
            <w:vAlign w:val="center"/>
          </w:tcPr>
          <w:p>
            <w:pPr>
              <w:pStyle w:val="TableContents"/>
              <w:bidi w:val="0"/>
              <w:spacing w:before="0" w:after="283"/>
              <w:jc w:val="right"/>
              <w:rPr/>
            </w:pPr>
            <w:r>
              <w:rPr/>
              <w:t>(26,594</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6521" w:type="dxa"/>
            <w:tcBorders/>
            <w:shd w:fill="CCEEFF" w:val="clear"/>
            <w:tcMar>
              <w:bottom w:w="0" w:type="dxa"/>
            </w:tcMar>
            <w:vAlign w:val="center"/>
          </w:tcPr>
          <w:p>
            <w:pPr>
              <w:pStyle w:val="TableContents"/>
              <w:bidi w:val="0"/>
              <w:spacing w:before="0" w:after="283"/>
              <w:jc w:val="left"/>
              <w:rPr/>
            </w:pPr>
            <w:r>
              <w:rPr/>
              <w:t>Pro forma undistributed net loss attributable to USA Rare Earth,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shd w:fill="CCEEFF" w:val="clear"/>
            <w:vAlign w:val="center"/>
          </w:tcPr>
          <w:p>
            <w:pPr>
              <w:pStyle w:val="TableContents"/>
              <w:bidi w:val="0"/>
              <w:spacing w:before="0" w:after="283"/>
              <w:jc w:val="left"/>
              <w:rPr/>
            </w:pPr>
            <w:r>
              <w:rPr/>
              <w:t>$</w:t>
            </w:r>
          </w:p>
        </w:tc>
        <w:tc>
          <w:tcPr>
            <w:tcW w:w="1616" w:type="dxa"/>
            <w:tcBorders>
              <w:bottom w:val="double" w:sz="10" w:space="0" w:color="000000"/>
            </w:tcBorders>
            <w:shd w:fill="CCEEFF" w:val="clear"/>
            <w:vAlign w:val="center"/>
          </w:tcPr>
          <w:p>
            <w:pPr>
              <w:pStyle w:val="TableContents"/>
              <w:bidi w:val="0"/>
              <w:spacing w:before="0" w:after="283"/>
              <w:jc w:val="right"/>
              <w:rPr/>
            </w:pPr>
            <w:r>
              <w:rPr/>
              <w:t>(74,054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double" w:sz="10" w:space="0" w:color="000000"/>
            </w:tcBorders>
            <w:shd w:fill="CCEEFF" w:val="clear"/>
            <w:vAlign w:val="center"/>
          </w:tcPr>
          <w:p>
            <w:pPr>
              <w:pStyle w:val="TableContents"/>
              <w:bidi w:val="0"/>
              <w:spacing w:before="0" w:after="283"/>
              <w:jc w:val="left"/>
              <w:rPr/>
            </w:pPr>
            <w:r>
              <w:rPr/>
              <w:t>$</w:t>
            </w:r>
          </w:p>
        </w:tc>
        <w:tc>
          <w:tcPr>
            <w:tcW w:w="1258" w:type="dxa"/>
            <w:tcBorders>
              <w:bottom w:val="double" w:sz="10" w:space="0" w:color="000000"/>
            </w:tcBorders>
            <w:shd w:fill="CCEEFF" w:val="clear"/>
            <w:vAlign w:val="center"/>
          </w:tcPr>
          <w:p>
            <w:pPr>
              <w:pStyle w:val="TableContents"/>
              <w:bidi w:val="0"/>
              <w:spacing w:before="0" w:after="283"/>
              <w:jc w:val="right"/>
              <w:rPr/>
            </w:pPr>
            <w:r>
              <w:rPr/>
              <w:t>(479,664</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65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b/>
              </w:rPr>
            </w:pPr>
            <w:r>
              <w:rPr>
                <w:b/>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pPr>
            <w:r>
              <w:rPr/>
              <w:t>USAR weighted average number of common shares outstanding-basic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196,479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98,021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Add: Shares issued to SVRE shareholders in a Merger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126,849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126,849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 Shares issued in a private placement</w:t>
            </w:r>
            <w:r>
              <w:rPr>
                <w:rFonts w:ascii="Times New Roman;Times;Serif" w:hAnsi="Times New Roman;Times;Serif"/>
                <w:position w:val="7"/>
                <w:sz w:val="16"/>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right"/>
              <w:rPr/>
            </w:pPr>
            <w:r>
              <w:rPr/>
              <w:t>69,767</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Add: Shares issued for earnout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10,100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pPr>
            <w:r>
              <w:rPr/>
              <w:t>Add: Shares issued to DOC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FFFFFF" w:val="cle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right"/>
              <w:rPr/>
            </w:pPr>
            <w:r>
              <w:rPr/>
              <w:t>16,133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FFFFFF" w:val="clear"/>
            <w:vAlign w:val="center"/>
          </w:tcPr>
          <w:p>
            <w:pPr>
              <w:pStyle w:val="TableContents"/>
              <w:bidi w:val="0"/>
              <w:spacing w:before="0" w:after="283"/>
              <w:jc w:val="left"/>
              <w:rPr/>
            </w:pPr>
            <w:r>
              <w:rPr/>
              <w:t> </w:t>
            </w:r>
          </w:p>
        </w:tc>
        <w:tc>
          <w:tcPr>
            <w:tcW w:w="1258" w:type="dxa"/>
            <w:tcBorders>
              <w:bottom w:val="single" w:sz="12" w:space="0" w:color="000000"/>
            </w:tcBorders>
            <w:shd w:fill="FFFFFF" w:val="clear"/>
            <w:vAlign w:val="center"/>
          </w:tcPr>
          <w:p>
            <w:pPr>
              <w:pStyle w:val="TableContents"/>
              <w:bidi w:val="0"/>
              <w:spacing w:before="0" w:after="283"/>
              <w:jc w:val="right"/>
              <w:rPr/>
            </w:pPr>
            <w:r>
              <w:rPr/>
              <w:t>16,133</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6521" w:type="dxa"/>
            <w:tcBorders/>
            <w:shd w:fill="CCEEFF" w:val="clear"/>
            <w:tcMar>
              <w:bottom w:w="0" w:type="dxa"/>
            </w:tcMar>
            <w:vAlign w:val="center"/>
          </w:tcPr>
          <w:p>
            <w:pPr>
              <w:pStyle w:val="TableContents"/>
              <w:bidi w:val="0"/>
              <w:spacing w:before="0" w:after="283"/>
              <w:jc w:val="left"/>
              <w:rPr/>
            </w:pPr>
            <w:r>
              <w:rPr/>
              <w:t>Pro forma weighted average shares of common stock outstanding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616" w:type="dxa"/>
            <w:tcBorders>
              <w:bottom w:val="single" w:sz="12" w:space="0" w:color="000000"/>
            </w:tcBorders>
            <w:shd w:fill="CCEEFF" w:val="clear"/>
            <w:vAlign w:val="center"/>
          </w:tcPr>
          <w:p>
            <w:pPr>
              <w:pStyle w:val="TableContents"/>
              <w:bidi w:val="0"/>
              <w:spacing w:before="0" w:after="283"/>
              <w:jc w:val="right"/>
              <w:rPr/>
            </w:pPr>
            <w:r>
              <w:rPr/>
              <w:t>349,561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310,771</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6521" w:type="dxa"/>
            <w:tcBorders/>
            <w:shd w:fill="FFFFFF" w:val="clear"/>
            <w:tcMar>
              <w:bottom w:w="0" w:type="dxa"/>
            </w:tcMar>
            <w:vAlign w:val="center"/>
          </w:tcPr>
          <w:p>
            <w:pPr>
              <w:pStyle w:val="TableContents"/>
              <w:bidi w:val="0"/>
              <w:spacing w:before="0" w:after="283"/>
              <w:jc w:val="left"/>
              <w:rPr>
                <w:b/>
              </w:rPr>
            </w:pPr>
            <w:r>
              <w:rPr>
                <w:b/>
              </w:rPr>
              <w:t>Pro forma net loss per share – basic &amp;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shd w:fill="FFFFFF" w:val="clear"/>
            <w:vAlign w:val="center"/>
          </w:tcPr>
          <w:p>
            <w:pPr>
              <w:pStyle w:val="TableContents"/>
              <w:bidi w:val="0"/>
              <w:spacing w:before="0" w:after="283"/>
              <w:jc w:val="left"/>
              <w:rPr/>
            </w:pPr>
            <w:r>
              <w:rPr/>
              <w:t>$</w:t>
            </w:r>
          </w:p>
        </w:tc>
        <w:tc>
          <w:tcPr>
            <w:tcW w:w="1616" w:type="dxa"/>
            <w:tcBorders>
              <w:bottom w:val="double" w:sz="10" w:space="0" w:color="000000"/>
            </w:tcBorders>
            <w:shd w:fill="FFFFFF" w:val="clear"/>
            <w:vAlign w:val="center"/>
          </w:tcPr>
          <w:p>
            <w:pPr>
              <w:pStyle w:val="TableContents"/>
              <w:bidi w:val="0"/>
              <w:spacing w:before="0" w:after="283"/>
              <w:jc w:val="right"/>
              <w:rPr/>
            </w:pPr>
            <w:r>
              <w:rPr/>
              <w:t>(0.21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double" w:sz="10" w:space="0" w:color="000000"/>
            </w:tcBorders>
            <w:shd w:fill="FFFFFF" w:val="clear"/>
            <w:vAlign w:val="center"/>
          </w:tcPr>
          <w:p>
            <w:pPr>
              <w:pStyle w:val="TableContents"/>
              <w:bidi w:val="0"/>
              <w:spacing w:before="0" w:after="283"/>
              <w:jc w:val="left"/>
              <w:rPr/>
            </w:pPr>
            <w:r>
              <w:rPr/>
              <w:t>$</w:t>
            </w:r>
          </w:p>
        </w:tc>
        <w:tc>
          <w:tcPr>
            <w:tcW w:w="1258" w:type="dxa"/>
            <w:tcBorders>
              <w:bottom w:val="double" w:sz="10" w:space="0" w:color="000000"/>
            </w:tcBorders>
            <w:shd w:fill="FFFFFF" w:val="clear"/>
            <w:vAlign w:val="center"/>
          </w:tcPr>
          <w:p>
            <w:pPr>
              <w:pStyle w:val="TableContents"/>
              <w:bidi w:val="0"/>
              <w:spacing w:before="0" w:after="283"/>
              <w:jc w:val="right"/>
              <w:rPr/>
            </w:pPr>
            <w:r>
              <w:rPr/>
              <w:t>(1.54</w:t>
            </w:r>
          </w:p>
        </w:tc>
        <w:tc>
          <w:tcPr>
            <w:tcW w:w="11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to be issued in a private placement for the three months ended March 31, 2026 are already reflected in the historical unaudited condensed consolidated financial statements of USAR and therefore are not reflected separately.</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potentially dilutive outstanding securities, including DOC Warrant to purchase 17,600,584 shares of USAR Common Stock were excluded from the computation of pro forma diluted net loss per share because their effect would have been anti-dilutive.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jc w:val="right"/>
        <w:rPr>
          <w:b/>
        </w:rPr>
      </w:pPr>
      <w:bookmarkStart w:id="6" w:name="ea029675201ex99-2.htm"/>
      <w:bookmarkStart w:id="7" w:name="ksea029675201ex992"/>
      <w:bookmarkEnd w:id="6"/>
      <w:bookmarkEnd w:id="7"/>
      <w:r>
        <w:rPr>
          <w:b/>
        </w:rPr>
        <w:t>Exhibit 99.2</w:t>
      </w:r>
      <w:r>
        <w:br w:type="page"/>
      </w:r>
    </w:p>
    <w:p>
      <w:pPr>
        <w:pStyle w:val="TextBody"/>
        <w:bidi w:val="0"/>
        <w:spacing w:before="0" w:after="283"/>
        <w:jc w:val="left"/>
        <w:rPr/>
      </w:pPr>
      <w:r>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(“USAR,” “we,” “our,” and “us”) is providing the additional information below for the purpose of supplementing disclosures contained in USAR’s filings with the Securities and Exchange Commission (the “SEC”). Unless otherwise noted or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references to the “merger” refer to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and</w:t>
            </w:r>
          </w:p>
        </w:tc>
      </w:tr>
    </w:tbl>
    <w:p>
      <w:pPr>
        <w:pStyle w:val="TextBody"/>
        <w:bidi w:val="0"/>
        <w:spacing w:before="0" w:after="0"/>
        <w:ind w:left="0" w:right="0"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references to the “Parent Loan Agreement” refer to (i) a direct funding agreement (the “Direct Funding Agreement”) among USAR, certain subsidiaries of USAR, as guarantors, and the U.S. Department of Commerce (the “DOC”) entered into on June 3, 2026, providing for direct funding awards with a maximum award amount of $277.0 million, and (ii) a loan guarantee agreement (the “Loan Guarantee Agreement”) entered into on June 3, 2026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of Common Stock in the merger and other contemplated issuances will dilute the voting power of existing USAR stockholders and their percentage interest in any future earnings of USAR.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USAR will issue 126,849,307 shares of USAR’s common stock, par value $0.0001 per share (“Common Stock”) to the former SVRE securityholders as aggregate stock merger consideration.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proposed acquisition of Texas Mineral Resources Corp. (“TMRC”)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SAS (“Carester”) in connection with the proposed transaction with Carester (the “Carester Transaction”), and (4) the issuance of an aggregate of 10,100,000 shares of Common Stock as earnout shares (the “Earnout Shares”) upon the achievement of the applicable market-price conditions (5,050,000 shares issued on April 15, 2026 and 5,050,000 shares issued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quantifies, on a disaggregated basis, the potential dilutive effect of these transactions and material agreements. Dilutive effect percentages are calculated based on 244,671,142 shares of Common Stock outstanding as of June 29, 2026.</w:t>
      </w:r>
    </w:p>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28" w:type="dxa"/>
          <w:right w:w="0" w:type="dxa"/>
        </w:tblCellMar>
      </w:tblPr>
      <w:tblGrid>
        <w:gridCol w:w="6785"/>
        <w:gridCol w:w="60"/>
        <w:gridCol w:w="77"/>
        <w:gridCol w:w="1577"/>
        <w:gridCol w:w="60"/>
        <w:gridCol w:w="60"/>
        <w:gridCol w:w="147"/>
        <w:gridCol w:w="1087"/>
        <w:gridCol w:w="230"/>
      </w:tblGrid>
      <w:tr>
        <w:trPr/>
        <w:tc>
          <w:tcPr>
            <w:tcW w:w="6785" w:type="dxa"/>
            <w:tcBorders>
              <w:bottom w:val="single" w:sz="12" w:space="0" w:color="000000"/>
            </w:tcBorders>
            <w:vAlign w:val="center"/>
          </w:tcPr>
          <w:p>
            <w:pPr>
              <w:pStyle w:val="TableContents"/>
              <w:bidi w:val="0"/>
              <w:spacing w:before="0" w:after="283"/>
              <w:jc w:val="left"/>
              <w:rPr>
                <w:b/>
              </w:rPr>
            </w:pPr>
            <w:r>
              <w:rPr>
                <w:b/>
              </w:rPr>
              <w:t>Transaction</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12" w:space="0" w:color="000000"/>
            </w:tcBorders>
            <w:vAlign w:val="center"/>
          </w:tcPr>
          <w:p>
            <w:pPr>
              <w:pStyle w:val="TableContents"/>
              <w:bidi w:val="0"/>
              <w:spacing w:before="0" w:after="283"/>
              <w:jc w:val="center"/>
              <w:rPr>
                <w:b/>
              </w:rPr>
            </w:pPr>
            <w:r>
              <w:rPr>
                <w:b/>
              </w:rPr>
              <w:t xml:space="preserve">Shares of </w:t>
              <w:br/>
              <w:t xml:space="preserve">Common Stock </w:t>
              <w:br/>
              <w:t>Issuable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12" w:space="0" w:color="000000"/>
            </w:tcBorders>
            <w:vAlign w:val="center"/>
          </w:tcPr>
          <w:p>
            <w:pPr>
              <w:pStyle w:val="TableContents"/>
              <w:bidi w:val="0"/>
              <w:spacing w:before="0" w:after="283"/>
              <w:jc w:val="center"/>
              <w:rPr>
                <w:b/>
              </w:rPr>
            </w:pPr>
            <w:r>
              <w:rPr>
                <w:b/>
              </w:rPr>
              <w:t xml:space="preserve">% of Fully- </w:t>
              <w:br/>
              <w:t xml:space="preserve">Diluted </w:t>
              <w:br/>
              <w:t>Shares</w:t>
            </w:r>
          </w:p>
        </w:tc>
        <w:tc>
          <w:tcPr>
            <w:tcW w:w="230" w:type="dxa"/>
            <w:tcBorders/>
            <w:tcMar>
              <w:bottom w:w="0" w:type="dxa"/>
            </w:tcMar>
            <w:vAlign w:val="center"/>
          </w:tcPr>
          <w:p>
            <w:pPr>
              <w:pStyle w:val="TableContents"/>
              <w:bidi w:val="0"/>
              <w:spacing w:before="0" w:after="283"/>
              <w:ind w:left="0" w:right="0" w:hanging="200"/>
              <w:jc w:val="left"/>
              <w:rPr/>
            </w:pPr>
            <w:r>
              <w:rPr/>
              <w:t> </w:t>
            </w:r>
          </w:p>
        </w:tc>
      </w:tr>
      <w:tr>
        <w:trPr/>
        <w:tc>
          <w:tcPr>
            <w:tcW w:w="6785" w:type="dxa"/>
            <w:tcBorders/>
            <w:shd w:fill="CCEEFF" w:val="clear"/>
            <w:tcMar>
              <w:bottom w:w="0" w:type="dxa"/>
            </w:tcMar>
            <w:vAlign w:val="center"/>
          </w:tcPr>
          <w:p>
            <w:pPr>
              <w:pStyle w:val="TableContents"/>
              <w:bidi w:val="0"/>
              <w:spacing w:before="0" w:after="283"/>
              <w:jc w:val="left"/>
              <w:rPr>
                <w:sz w:val="20"/>
              </w:rPr>
            </w:pPr>
            <w:r>
              <w:rPr>
                <w:sz w:val="20"/>
              </w:rPr>
              <w:t>Shares of Common Prior to Issuances Noted Below</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225,294,054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54.8</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pPr>
            <w:r>
              <w:rPr/>
              <w:t>The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126,849,307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30.9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sz w:val="20"/>
              </w:rPr>
            </w:pPr>
            <w:r>
              <w:rPr>
                <w:sz w:val="20"/>
              </w:rPr>
              <w:t>U.S. Department of Commerce – Warrant</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17,600,584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4.3</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U.S. Department of Commerce – Direct Funding Agreement</w:t>
            </w:r>
            <w:r>
              <w:rPr>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16,132,790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Shares Reserved Under USAR Equity Incentive Plan for Future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10,418,629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2.5</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Earnout Shares</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283"/>
              <w:jc w:val="right"/>
              <w:rPr/>
            </w:pPr>
            <w:r>
              <w:rPr/>
              <w:t>10,100,000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2.5</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TMRC Transaction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283"/>
              <w:jc w:val="right"/>
              <w:rPr/>
            </w:pPr>
            <w:r>
              <w:rPr/>
              <w:t>3,823,328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0.9</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sz w:val="20"/>
              </w:rPr>
            </w:pPr>
            <w:r>
              <w:rPr>
                <w:sz w:val="20"/>
              </w:rPr>
              <w:t>Carester Transaction</w:t>
            </w:r>
            <w:r>
              <w:rPr>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1577" w:type="dxa"/>
            <w:tcBorders>
              <w:bottom w:val="single" w:sz="12" w:space="0" w:color="000000"/>
            </w:tcBorders>
            <w:shd w:fill="FFFFFF" w:val="clear"/>
            <w:vAlign w:val="center"/>
          </w:tcPr>
          <w:p>
            <w:pPr>
              <w:pStyle w:val="TableContents"/>
              <w:bidi w:val="0"/>
              <w:spacing w:before="0" w:after="283"/>
              <w:jc w:val="right"/>
              <w:rPr/>
            </w:pPr>
            <w:r>
              <w:rPr/>
              <w:t>641,722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bottom w:val="single" w:sz="12" w:space="0" w:color="000000"/>
            </w:tcBorders>
            <w:shd w:fill="FFFFFF" w:val="clear"/>
            <w:vAlign w:val="center"/>
          </w:tcPr>
          <w:p>
            <w:pPr>
              <w:pStyle w:val="TableContents"/>
              <w:bidi w:val="0"/>
              <w:spacing w:before="0" w:after="283"/>
              <w:jc w:val="left"/>
              <w:rPr/>
            </w:pPr>
            <w:r>
              <w:rPr/>
              <w:t> </w:t>
            </w:r>
          </w:p>
        </w:tc>
        <w:tc>
          <w:tcPr>
            <w:tcW w:w="1087" w:type="dxa"/>
            <w:tcBorders>
              <w:bottom w:val="single" w:sz="12" w:space="0" w:color="000000"/>
            </w:tcBorders>
            <w:shd w:fill="FFFFFF" w:val="clear"/>
            <w:vAlign w:val="center"/>
          </w:tcPr>
          <w:p>
            <w:pPr>
              <w:pStyle w:val="TableContents"/>
              <w:bidi w:val="0"/>
              <w:spacing w:before="0" w:after="283"/>
              <w:jc w:val="right"/>
              <w:rPr/>
            </w:pPr>
            <w:r>
              <w:rPr/>
              <w:t>0.2</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b/>
              </w:rPr>
            </w:pPr>
            <w:r>
              <w:rPr>
                <w:b/>
              </w:rPr>
              <w:t>Total Fully-Diluted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double" w:sz="10" w:space="0" w:color="000000"/>
            </w:tcBorders>
            <w:shd w:fill="CCEEFF" w:val="clear"/>
            <w:vAlign w:val="center"/>
          </w:tcPr>
          <w:p>
            <w:pPr>
              <w:pStyle w:val="TableContents"/>
              <w:bidi w:val="0"/>
              <w:spacing w:before="0" w:after="283"/>
              <w:jc w:val="left"/>
              <w:rPr/>
            </w:pPr>
            <w:r>
              <w:rPr/>
              <w:t> </w:t>
            </w:r>
          </w:p>
        </w:tc>
        <w:tc>
          <w:tcPr>
            <w:tcW w:w="1577" w:type="dxa"/>
            <w:tcBorders>
              <w:bottom w:val="double" w:sz="10" w:space="0" w:color="000000"/>
            </w:tcBorders>
            <w:shd w:fill="CCEEFF" w:val="clear"/>
            <w:vAlign w:val="center"/>
          </w:tcPr>
          <w:p>
            <w:pPr>
              <w:pStyle w:val="TableContents"/>
              <w:bidi w:val="0"/>
              <w:spacing w:before="0" w:after="283"/>
              <w:jc w:val="right"/>
              <w:rPr/>
            </w:pPr>
            <w:r>
              <w:rPr/>
              <w:t>410,860,414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bottom w:val="double" w:sz="10" w:space="0" w:color="000000"/>
            </w:tcBorders>
            <w:shd w:fill="CCEEFF" w:val="clear"/>
            <w:vAlign w:val="center"/>
          </w:tcPr>
          <w:p>
            <w:pPr>
              <w:pStyle w:val="TableContents"/>
              <w:bidi w:val="0"/>
              <w:spacing w:before="0" w:after="283"/>
              <w:jc w:val="left"/>
              <w:rPr/>
            </w:pPr>
            <w:r>
              <w:rPr/>
              <w:t> </w:t>
            </w:r>
          </w:p>
        </w:tc>
        <w:tc>
          <w:tcPr>
            <w:tcW w:w="1087" w:type="dxa"/>
            <w:tcBorders>
              <w:bottom w:val="double" w:sz="10" w:space="0" w:color="000000"/>
            </w:tcBorders>
            <w:shd w:fill="CCEEFF" w:val="cle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Includes shares of Common Stock outstanding and shares issuable upon the exercise or conversion of outstanding equity instruments as of June 29, 2026, except for (1) the shares underlying the warrant issued to the U.S. Department of Commerce on June 3, 2026, (2) the shares of Common Stock issued to the U.S. Department of Commerce on June 3, 2026, (3) the Earnout Shares issued on April 15, 2026 and May 15, 2026, or (4) shares reserved under USAR’s equity incentive plan for future grants, which are included as separate line items.</w:t>
            </w:r>
          </w:p>
        </w:tc>
      </w:tr>
    </w:tbl>
    <w:tbl>
      <w:tblPr>
        <w:tblW w:w="5313" w:type="dxa"/>
        <w:jc w:val="left"/>
        <w:tblInd w:w="0" w:type="dxa"/>
        <w:tblLayout w:type="fixed"/>
        <w:tblCellMar>
          <w:top w:w="0" w:type="dxa"/>
          <w:left w:w="0" w:type="dxa"/>
          <w:bottom w:w="0" w:type="dxa"/>
          <w:right w:w="0" w:type="dxa"/>
        </w:tblCellMar>
      </w:tblPr>
      <w:tblGrid>
        <w:gridCol w:w="38"/>
        <w:gridCol w:w="29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985" w:type="dxa"/>
            <w:tcBorders/>
            <w:vAlign w:val="center"/>
          </w:tcPr>
          <w:p>
            <w:pPr>
              <w:pStyle w:val="TableContents"/>
              <w:bidi w:val="0"/>
              <w:spacing w:before="0" w:after="283"/>
              <w:jc w:val="both"/>
              <w:rPr/>
            </w:pPr>
            <w:r>
              <w:rPr/>
              <w:t>Assumes full exercise at an exercise price of $17.17.</w:t>
            </w:r>
          </w:p>
        </w:tc>
      </w:tr>
    </w:tbl>
    <w:tbl>
      <w:tblPr>
        <w:tblW w:w="2298" w:type="dxa"/>
        <w:jc w:val="left"/>
        <w:tblInd w:w="0" w:type="dxa"/>
        <w:tblLayout w:type="fixed"/>
        <w:tblCellMar>
          <w:top w:w="0" w:type="dxa"/>
          <w:left w:w="0" w:type="dxa"/>
          <w:bottom w:w="0" w:type="dxa"/>
          <w:right w:w="0" w:type="dxa"/>
        </w:tblCellMar>
      </w:tblPr>
      <w:tblGrid>
        <w:gridCol w:w="38"/>
        <w:gridCol w:w="29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1970" w:type="dxa"/>
            <w:tcBorders/>
            <w:vAlign w:val="center"/>
          </w:tcPr>
          <w:p>
            <w:pPr>
              <w:pStyle w:val="TableContents"/>
              <w:bidi w:val="0"/>
              <w:spacing w:before="0" w:after="283"/>
              <w:jc w:val="both"/>
              <w:rPr/>
            </w:pPr>
            <w:r>
              <w:rPr/>
              <w:t>Issued June 3, 2026.</w:t>
            </w:r>
          </w:p>
        </w:tc>
      </w:tr>
    </w:tbl>
    <w:tbl>
      <w:tblPr>
        <w:tblW w:w="9648" w:type="dxa"/>
        <w:jc w:val="left"/>
        <w:tblInd w:w="0" w:type="dxa"/>
        <w:tblLayout w:type="fixed"/>
        <w:tblCellMar>
          <w:top w:w="0" w:type="dxa"/>
          <w:left w:w="0" w:type="dxa"/>
          <w:bottom w:w="0" w:type="dxa"/>
          <w:right w:w="0" w:type="dxa"/>
        </w:tblCellMar>
      </w:tblPr>
      <w:tblGrid>
        <w:gridCol w:w="38"/>
        <w:gridCol w:w="29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9320" w:type="dxa"/>
            <w:tcBorders/>
            <w:vAlign w:val="center"/>
          </w:tcPr>
          <w:p>
            <w:pPr>
              <w:pStyle w:val="TableContents"/>
              <w:bidi w:val="0"/>
              <w:spacing w:before="0" w:after="283"/>
              <w:jc w:val="both"/>
              <w:rPr/>
            </w:pPr>
            <w:r>
              <w:rPr/>
              <w:t>Consists of 5,050,000 shares issued on April 15, 2026 and 5,050,000 shares issued May 15, 2026.</w:t>
            </w:r>
          </w:p>
        </w:tc>
      </w:tr>
    </w:tbl>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left"/>
              <w:rPr/>
            </w:pPr>
            <w:r>
              <w:rPr/>
              <w:t>Number of shares estimated based on the dollar amount of the share consideration to be issued in the transaction (approximately $13.5 million based on the EUR to USD exchange rate on June 29, 2026), divided by the closing price of the Common Stock on such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precedent to the Offtake Agreement are not satisfied or waived, or if the Offtake Agreement is terminated for any reason, SVRE may lose the significant commercial benefits provided by the Offtake Agreement and be forced to seek alternative buyers on less favorable terms, which could materially adversely affect the combined company’s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(as defined below) was entered into between SV Management Switzerland AG (“SV Management Switzerland”), a wholly owned subsidiary of SVRE, and US SIIE, LLC (the “Counterparty”), a special purpose vehicle capitalized by the U.S. government and private capital sources. Commencement of deliveries under the Offtake Agreement is subject to the satisfaction or waiver of certain conditions precedent by an agreed long-stop date, including, among others, the execution of the Call Option Agreement (as defined below) and the receipt by the Counterparty of specified financial support from the U.S. government. If conditions precedent relating to execution of the Call Option Agreement or evidence that SV Management Switzerland is not owned or controlled by restricted persons are not satisfied or waived by such date, the Counterparty may terminate the Offtake Agreement without liability. If the conditions precedent relating to U.S. government financial support is not satisfied or waived by such date, SV Management Switzerland may terminate the Offtake Agreement without liability. There can be no assurance that all such conditions will be satisfied or waived on a timely basis, or at all. In particular, if the U.S. government or private capital sources fail to provide adequate capitalization to the Counterparty, or if such capitalization is significantly delayed, the Counterparty may lack the financial resources necessary to perform its purchase obligations under the Offtake Agreement, and the applicable conditions precedent may not be capable of satisfaction. The Offtake Agreement may also be subject to termination in other circumstances, including as a result of a material breach by either party, changes in the regulatory or political environment, or other events beyond the control of SVRE or the Counterparty.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Amendment No. 1 to the Merger Agreement, dated July 16, 2026, the satisfaction (and non-waiver) of certain of these conditions precedent under the Offtake Agreement, the lapse of the right of SV Management Switzerland to terminate the Offtake Agreement, and the Offtake Agreement being in full force and effect as of the closing are conditions to the obligation of USAR and Merger Sub to complete the merger. As a result, if these conditions are not satisfied, USAR and Merger Sub would not be obligated to complete the merger, and the merger may not be completed on its anticipated timeline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provides SVRE with a number of significant commercial benefits that underpin its business plan and financial projections. These benefits include the option for SVRE to deliver higher-value products, such as separated rare earth oxides, and support for the extension of the term of the Retained Finance Agreement (as defined below) from 12 to 15 years upon satisfaction of certain conditions under the Offtake Agreement. These arrangements are expected to provide a meaningful measure of certainty with respect to SVRE’s medium- and longer-term cash flows and to help de-risk the combined company’s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precedent to the Offtake Agreement are not satisfied or waived, if the Offtake Agreement is terminated for any reason, or if the Counterparty defaults on its purchase obligations, SVRE may be forced to seek alternative buyers for its rare earth products. There can be no assurance that alternative offtake arrangements would be available on comparable terms, or at all. Any alternative arrangements would likely not include the floor price protection, annual price escalation, favorable upside-sharing mechanics, take-or-pay volume commitments, or long-term duration provided by the Offtake Agreement. The loss of these protections would expose the combined company to the full volatility of rare earth commodity prices and market demand fluctuations, which could result in materially lower and less predictable revenue, reduced margins and impaired ability to service the combined company’s substantial indebtedness, including under the Retained Finance Agreement. In addition, the failure to maintain the Offtake Agreement could jeopardize the combined company’s ability to satisfy the conditions required for the extension of the Retained Finance Agreement term from 12 to 15 years, potentially accelerating repayment obligations. The occurrence of any of the foregoing events could have a material adverse effect on the combined company’s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subject to risks associated with being designated on an export control list by China.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USAR was added to China’s export control list, along with several other U.S. companies. Following this designation, exporters in China have been prohibited from exporting certain items to USAR, and exporters outside China have been prohibited from transferring or providing certain China-origin items to USAR without a license from the Chinese government, which in practice may be difficult or impossible to obtain. This restriction has had and is expected to continue to have an adverse impact on USAR’s ability to source key raw materials and supplies from China, which in turn has impacted and is expected to continue to impact USAR’s business. This designation, as well as any future designations or adverse actions taken by the Chinese government, may have a negative effect on USAR’s ability to produce its products, including if USAR is unable to source impacted items of the same quantity and quality from outside of China that are not of Chinese origin. China's export control regime is relatively new, has recently been substantially expanded, and continues to evolve. The scope, extraterritorial reach and enforcement of these measures remain uncertain and, in certain respects, untested, and further changes could materially and adversely affect USAR’s business.</w:t>
      </w:r>
    </w:p>
    <w:p>
      <w:pPr>
        <w:pStyle w:val="TextBody"/>
        <w:bidi w:val="0"/>
        <w:spacing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GOVERNMENT SUPPORT AND FINANCING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SVRE are party to, or have entered or expect to enter into, the following government-related financing and offtake arrangements, each of which is relevant to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Retained Finance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a long-term debt financing to support the debottlenecking and optimization of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approximately $325 million. The Incremental Loan was fully disbursed to SVRE on June 4, 2026.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Retained Finance Agreement, following the disbursement of the Incremental Loan, the DFC holds warrants to purchase ordinary shares of SVRE, which warrants will be automatically exercised immediately prior to the closing. As a condition to the disbursement of the Incremental Loan, SVRE and the DFC entered into a side letter (the “DFC Side Letter”) pursuant to which the DFC will have the right to nominate (i) a director to the board of directors of Merger Sub, and (ii) an observer to attend all meetings of the board of directors of Merger Sub, which appointments, if made, are conditions to USAR’s obligation to complete the merger.</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by the Merger Agreement require certain consents, amendments or waivers under the Retained Finance Agreement, including (i) the release of the SVRE securityholders from an equitable share mortgage granted in favor of the DFC over certain SVRE shares, and (ii) the consent from the DFC to permit the transactions contemplated by the Merger Agreement under the Retained Finance Agreement. As a condition to providing such consents, the DFC may require the surviving company to assume SVRE’s obligations under the Retained Finance Agreement and to maintain or re-create the related security interests. At this time, the DFC has not requested that USAR nor any of its subsidiaries (other than Merger Sub and its subsidiaries) provide guarantees, pledges, purchase rights or other credit support in connection with such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Offtake Agreement and Related Call Option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SV Management Switzerland AG (“SV Management Switzerland”), a subsidiary of SVRE, entered into an offtake agreement with a special purpose vehicle capitalized by the U.S. government and private capital sources (the “Counterparty”) (as amended from time to time, the “Offtake Agreement”) for the long-term supply of rare earth materials produced by SVRE.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contemplates the sale and purchase of 100% of the rare earth payable products produced by SVRE from the first phase of operations at the Pela Ema project, subject to limited carve-outs. The Incremental Loan was fully disbursed on June 4, 2026, and the parties have acknowledged that SVRE’s obligation to deliver the full annual contract quantity will be for 100% of the first phase of operations at the Pela Ema project. The Offtake Agreement provides for a term ending on the earlier of (i) the date on which deliveries by SV Management Switzerland equal the rare earth products produced from 198,000,000 metric tons of run-of-mine ore and (ii) the date that is 20 years after the date on which SVRE’s facility becomes capable of producing the contemplated products (the “Commercial Operations Date”), with mutually agreed extensions subject to the consent of the U.S. government. The purchase price for the principal payable rare earth elements is determined on the basis of contractual floor prices, escalated by 2% annually, with 70% of the excess of the prevailing market index price over the applicable floor price payable to SV Management Switzerland and certain cost savings and yield variances allocated 70% to SV Management Switzerland and 30% to the Counterparty. Prior to the Commercial Operations Date, SV Management Switzerland is required to offer to the Counterparty all rare earth products available for sale, and the Counterparty is obligated to purchase such products subject to agreement on the terms and conditions for such sale. The commencement of deliveries under the Offtake Agreement is subject to the satisfaction or waiver of certain conditions precedent by an agreed long-stop date, June 12, 2026, including the execution of the Call Option Agreement, the receipt by the Counterparty of specified financial support from the U.S. government, confirmation that the Retained Finance Agreement is in place and confirmation by the U.S. government that SVRE is not owned or controlled by restricted persons; if the conditions precedent are not satisfied or waived by such date, either party may terminate the Offtake Agreement without liability. On June 29, 2026, SV Management Switzerland and the Counterparty entered into an amendment, consent and waiver to the Offtake Agreement that extended the long-stop date from June 12, 2026 to August 14, 2026.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consent and waiver described above, the description of the U.S. government financial support to be provided to the Counterparty was revised to consist of (i) an initial capital investment in the Counterparty of $500 million, (ii) a debt facility and/or an inventory monetization facility with a funding amount of $500 million to be made available to the Counterparty, and (iii) one or more forward purchase contracts pursuant to which the U.S. government will acquire no less than $300 million of rare earth payable products from the Counterparty over the first five years following the Commercial Operations Date (extended from three years), in each case with any obligations of the U.S. government in excess of $300 million in the aggregate subject to the availability of appropriations.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USAR, Merger Sub, SVRE and the Shareholder Representative entered into Amendment No. 1 to the Merger Agreement, pursuant to which the satisfaction (and non-waiver) of the conditions precedent set forth in Clauses 2.2(b) and 2.2(c) of the Offtake Agreement, the lapse of the right of SV Management Switzerland to terminate the Offtake Agreement in accordance with Clause 2.4 of the Offtake Agreement, and the Offtake Agreement being in full force and effect as of the closing became conditions to the obligation of USAR and Merger Sub to complete the merger. The condition precedent set forth in Clause 2.2(b) of the Offtake Agreement, which is for the benefit of SV Management Switzerland, is the receipt by the Counterparty of the specified financial support from the U.S. government described above (including the execution by the U.S. government and the Counterparty of one or more contracts for the purchase by the U.S. government of products from the Counterparty), together with the delivery to SV Management Switzerland of satisfactory evidence thereof. The condition precedent set forth in Clause 2.2(c) of the Offtake Agreement, which is for the benefit of the Counterparty, is the confirmation by the U.S. government that it has received the Retained Finance Agreement and evidence satisfactory to it that SV Management Switzerland is not owned or controlled by restricted persons. Under Clause 2.4 of the Offtake Agreement, SV Management Switzerland may terminate the Offtake Agreement without liability if the condition set forth in Clause 2.2(b) is not satisfied or waived by the applicable long-stop date.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Offtake Agreement, SVRE, the SVRE securityholders and the Counterparty have agreed to enter into a related call option agreement, to be dated on or before the closing date (as amended from time to time, the “Call Option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Call Option Agreement, upon the occurrence of certain specified triggering events, including, among others, the insolvency or bankruptcy of SV Management Switzerland or its mining subsidiary (subject to a carve-out where certain U.S. government entities are lenders), the voluntary cessation of all or substantially all of the mining operations at the project site for 60 or more consecutive days, breaches by SV Management Switzerland of certain obligations under the Offtake Agreement (including the change of control and assignment provisions), and events of default under new approved lender financing documents, the Counterparty shall have the option to purchase all (but not less than all) of the equity interests in SVRE held by each party to the Call Option Agreement. The purchase price would be equal to the fair market value of the equity interests, as determined by a panel of three independent experts. The Call Option Agreement restricts transfers of SVRE equity interests by the parties thereto to certain third parties without the Counterparty’s prior written consent and automatically terminates upon the earliest of (i) the closing of the sale of equity interests thereunder, (ii) with respect to any party to the Call Option Agreement, the date on which such party no longer holds any equity interests in SVRE due to a permitted transfer, or (iii) the termination of the Offtake Agreement, subject to a 180-day survival period if the Offtake Agreement is terminated by the Counterparty following a fundamental seller default. The consummation of the merger requires the receipt of certain consents, amendments or waivers under each of the Offtake Agreement and the Call Option Agreement, including the release of the SVRE securityholders from the Call Option Agreement. In connection with the closing, the wholly owned subsidiary of USAR that will directly hold the equity interests of Merger Sub is expected to enter into the Call Option Agreement and is expected to grant a pledge of those equity interests in favor of the DFC. It is anticipated that neither USAR nor any of its subsidiaries (other than Merger Sub and its subsidiaries and, with respect to such pledge, the direct parent of Merger Sub) will be required to provide guarantees, pledges, purchase rights or other credit support in connection with such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Parent Loan Agreement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USAR entered into a letter of intent with the U.S. Department of Commerce (the “DOC”) setting forth the principal terms on which USAR expected to enter into a long-term financing package with the DOC to support the development of USAR’s domestic rare earth and magnet supply chain, including the Round Top Mountain heavy rare earth elements deposit (the “Round Top”) and USAR’s Stillwater magnet manufacturing facility. On June 3, 2026, USAR entered into (i) a direct funding agreement (the “Direct Funding Agreement”) among USAR, certain subsidiaries of USAR, as guarantors, and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Concurrently with the execution of the Direct Funding Agreement and the Loan Guarantee Agreement, USAR entered into a Securities Issuance Agreement with the DOC and issued to the DOC 16,132,790 shares of USAR common stock, par value $0.0001 per share (“Common Stock”) and a warrant to purchase 17,600,584 shares of Common Stock at an exercise price of $17.17 per share. For additional information regarding the Parent Loan Agreement, see USAR’s Current Report on Form 8-K filed with the SEC on June 3, 2026, which is incorporated by reference into this Proxy Statement.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under the Parent Loan Agreement are subject to the achievement of various project-specific milestones, the making of cash equity contributions by USAR to its subsidiaries, the satisfaction of financial ratio and liquidity thresholds, the receipt of required permits and approvals and other customary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Royalty Agreements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 is party to two royalty agreements with affiliates of Orion Mine Finance: (i) an amended and restated royalty agreement dated as of July 11, 2022, among SVRE, as grantor, the other royalty parties named therein, OMF Fund III (CR) Ltd., as royalty holder, and TMF Canada Inc., as collateral agent (as amended, supplemented and/or otherwise modified from time to time, the “Non-Buyback Royalty Agreement”), and (ii) a royalty agreement (buyback) dated as of August 15, 2023, among SVRE, as grantor, the other royalty parties named therein, OMF Fund III (F) Ltd. (“OMF F”), as royalty holder, and TMF Canada Inc., as collateral agent (as amended, supplemented and/or otherwise modified from time to time, the “Buyback Royalty Agreement” and, together with the Non-Buyback Royalty Agreement, the “Royalty Agreements”). Under the Royalty Agreements, SVRE has granted to the applicable royalty holders a perpetual royalty interest at a royalty rate of 5.25% (in the aggregate) in respect of all products extracted and recovered from the Serra Verde rare earths projects located in Brazil.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Merger Agreement, the parties to the Royalty Agreements amended each Royalty Agreement to, among other things, add a definition of “Permitted Transaction” to permit the merger, exempt the merger from the general prohibition on Transfers, and add USAR to the schedule of additional holders. As a condition to providing such amendments to the Royalty Agreements, Orion Mine Finance will require the surviving company to assume SVRE’s obligations under the Royalty Agreements and to maintain or re-create the related security interests.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SVRE and OMF F entered into a payout letter to the side letter, dated as of March 5, 2026, between SVRE and OMF F (the “Orion Side Letter”), which provided OMF F a right to receive a Post-Optimal Redemption Payment (as defined under the Orion Side Letter). Pursuant to such payout letter, OMF F confirmed that once the Post-Optimal Redemption Payment is received, SVRE’s obligation under the Orion Side Letter will be satisfied.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bdr w:val="single" w:sz="12" w:space="1" w:color="000000"/>
        </w:rPr>
      </w:pPr>
      <w:r>
        <w:rPr>
          <w:bdr w:val="single" w:sz="12" w:space="1" w:color="000000"/>
        </w:rPr>
        <w:t>5</w:t>
      </w:r>
    </w:p>
    <w:p>
      <w:pPr>
        <w:pStyle w:val="TextBody"/>
        <w:bidi w:val="0"/>
        <w:spacing w:before="0" w:after="0"/>
        <w:ind w:left="0" w:right="0" w:firstLine="48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14008</Words>
  <Characters>76433</Characters>
  <CharactersWithSpaces>92321</CharactersWithSpaces>
  <Paragraphs>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