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USA Rare Earth,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Serra Verde Rare Earths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46,809,526.00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46,809,526.00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46,809,526.00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MVB Investment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46,962,166.00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46,962,166.00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46,962,166.00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Pembroke Resources II Holdings (Cayman)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46,962,166.00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46,962,166.00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46,962,166.00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Denham Mining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46,962,166.00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46,962,166.00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46,962,166.00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Denham Mining 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46,962,166.00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46,962,166.00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46,962,166.00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Denham Mining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46,962,166.00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46,962,166.00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46,962,166.00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USA Rare Earth,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 Airport Road, Stillwater, OK 74075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on behalf of each of the following persons (collectively, the "Reporting Persons"): (i) Serra Verde Rare Earths Ltd.; (ii) MVB Investment Holdings LLC; (iii) Pembroke Resources II Holdings (Cayman) LLC; (iv) Denham Mining Fund LP; (v) Denham Mining GP LP; and (vi) Denham Mining GP LLC. This Schedule 13G relates to shares of Common Stock directly held by Serra Verde Rare Earths Ltd. and MVB Investment Holdings LLC. Serra Verde Rare Earths Ltd. is majority owned by MVB Investment Holdings LLC, whose sole owner is Pembroke Resources II Holdings (Cayman) LLC, whose sole owner is Denham Mining Fund LP. The general partner of Denham Mining Fund LP is Denham Mining GP LP, whose general partner is Denham Mining GP LLC. Each of Stuart D. Porter, Carl J. Tricoli, and Robert G. Still is a manager and director of Denham Mining GP LLC, but, in reliance on the "rule of three," each disclaims beneficial ownership over the shares of Common Stock directly held by Serra Verde Rare Earths Ltd. and MVB Investment Holdings LLC.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Denham Capital Management LP, 185 Dartmouth Street, 7th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(i) Serra Verde Rare Earths Ltd. is a company incorporated and existing under the laws of the British Virgin Islands; (ii) MVB Investment Holdings LLC is a Delaware limited liability company; (iii) Pembroke Resources II Holdings (Cayman) LLC is a Cayman Islands limited liability company; (iv) Denham Mining Fund LP is a Cayman Islands limited partnership; (v) Denham Mining GP LP is a Cayman Islands limited partnership; and (vi) Denham Mining GP LLC is a Cayman Islands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Serra Verde Rare Earths Ltd. may be deemed the beneficial owner of 46,809,526 shares of Common Stock that it directly holds. As of the date hereof, each of MVB Investment Holdings LLC, Pembroke Resources II Holdings (Cayman) LLC, Denham Mining Fund LP, Denham Mining GP LP, and Denham Mining GP LLC may be deemed the beneficial owner of 46,962,166 shares of Common Stock consisting of (i) 46,809,526 shares of Common Stock that are directly held by Serra Verde Rare Earths Ltd. and (ii) 152,640 shares of Common Stock that are directly held by MVB Investment Holdings LLC. Based on the relationships described herein, each of the Reporting Persons may be deemed to share beneficial ownership over the 46,809,526 shares of Common Stock directly held by Serra Verde Rare Earths Ltd., and each of MVB Investment Holdings LLC, Pembroke Resources II Holdings (Cayman) LLC, Denham Mining Fund LP, Denham Mining GP LP, and Denham Mining GP LLC may be deemed to share beneficial ownership over the 152,640 shares of Common Stock directly held by MVB Investment Holdings LLC.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date hereof, each of the Reporting Persons may be deemed the beneficial owner of approximately 12.5% of the shares of Common Stock outstanding. This percentage is based on 375,076,567 shares of Common Stock outstanding as of September 3, 2026, as reported in the Form S-3 the Issuer filed on September 4, 2026.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Serra Verde Rare Earths Ltd.: 0 (ii) MVB Investment Holdings LLC: 0 (iii) Pembroke Resources II Holdings (Cayman) LLC: 0 (iv) Denham Mining Fund LP: 0 (v) Denham Mining GP LP: 0 (vi) Denham Mining GP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Serra Verde Rare Earths Ltd.: 46,809,526 (ii) MVB Investment Holdings LLC: 46,962,166 (iii) Pembroke Resources II Holdings (Cayman) LLC: 46,962,166 (iv) Denham Mining Fund LP: 46,962,166 (v) Denham Mining GP LP: 46,962,166 (vi) Denham Mining GP LLC: 46,962,166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Serra Verde Rare Earths Ltd.: 0 (ii) MVB Investment Holdings LLC: 0 (iii) Pembroke Resources II Holdings (Cayman) LLC: 0 (iv) Denham Mining Fund LP: 0 (v) Denham Mining GP LP: 0 (vi) Denham Mining GP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Serra Verde Rare Earths Ltd.: 46,809,526 (ii) MVB Investment Holdings LLC: 46,962,166 (iii) Pembroke Resources II Holdings (Cayman) LLC: 46,962,166 (iv) Denham Mining Fund LP: 46,962,166 (v) Denham Mining GP LP: 46,962,166 (vi) Denham Mining GP LLC: 46,962,166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response to Item 2(a)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Serra Verde Rare Earths Ltd.</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Anthony Fiore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Anthony Fiore,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MVB Investment Holdings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Anthony Fiore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Anthony Fiore, Vice President &amp; Secretary, Manager on the Board of Managers</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9972" w:type="dxa"/>
        <w:jc w:val="left"/>
        <w:tblInd w:w="0" w:type="dxa"/>
        <w:tblLayout w:type="fixed"/>
        <w:tblCellMar>
          <w:top w:w="28" w:type="dxa"/>
          <w:left w:w="28" w:type="dxa"/>
          <w:bottom w:w="28" w:type="dxa"/>
          <w:right w:w="28" w:type="dxa"/>
        </w:tblCellMar>
      </w:tblPr>
      <w:tblGrid>
        <w:gridCol w:w="4986"/>
        <w:gridCol w:w="4986"/>
      </w:tblGrid>
      <w:tr>
        <w:trPr/>
        <w:tc>
          <w:tcPr>
            <w:tcW w:w="4986" w:type="dxa"/>
            <w:tcBorders/>
            <w:vAlign w:val="center"/>
          </w:tcPr>
          <w:p>
            <w:pPr>
              <w:pStyle w:val="TableContents"/>
              <w:bidi w:val="0"/>
              <w:spacing w:before="0" w:after="0"/>
              <w:jc w:val="left"/>
              <w:rPr/>
            </w:pPr>
            <w:r>
              <w:rPr/>
              <w:t> </w:t>
            </w:r>
          </w:p>
          <w:tbl>
            <w:tblPr>
              <w:tblW w:w="4831" w:type="dxa"/>
              <w:jc w:val="left"/>
              <w:tblInd w:w="0" w:type="dxa"/>
              <w:tblLayout w:type="fixed"/>
              <w:tblCellMar>
                <w:top w:w="28" w:type="dxa"/>
                <w:left w:w="28" w:type="dxa"/>
                <w:bottom w:w="28" w:type="dxa"/>
                <w:right w:w="28" w:type="dxa"/>
              </w:tblCellMar>
            </w:tblPr>
            <w:tblGrid>
              <w:gridCol w:w="4831"/>
            </w:tblGrid>
            <w:tr>
              <w:trPr/>
              <w:tc>
                <w:tcPr>
                  <w:tcW w:w="4831" w:type="dxa"/>
                  <w:tcBorders/>
                  <w:vAlign w:val="center"/>
                </w:tcPr>
                <w:p>
                  <w:pPr>
                    <w:pStyle w:val="TableContents"/>
                    <w:bidi w:val="0"/>
                    <w:spacing w:before="0" w:after="0"/>
                    <w:jc w:val="left"/>
                    <w:rPr/>
                  </w:pPr>
                  <w:r>
                    <w:rPr/>
                    <w:t>Pembroke Resources II Holdings (Cayman) LLC</w:t>
                  </w:r>
                </w:p>
              </w:tc>
            </w:tr>
          </w:tbl>
          <w:p>
            <w:pPr>
              <w:pStyle w:val="TableContents"/>
              <w:bidi w:val="0"/>
              <w:spacing w:before="0" w:after="283"/>
              <w:jc w:val="left"/>
              <w:rPr/>
            </w:pPr>
            <w:r>
              <w:rPr/>
            </w:r>
          </w:p>
        </w:tc>
        <w:tc>
          <w:tcPr>
            <w:tcW w:w="4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6"/>
        <w:gridCol w:w="4249"/>
      </w:tblGrid>
      <w:tr>
        <w:trPr/>
        <w:tc>
          <w:tcPr>
            <w:tcW w:w="59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Anthony Fiore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Anthony Fiore, Vice President &amp; Secretary, Managing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24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Denham Mining Fund LP</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Anthony Fiore</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Anthony Fiore, Managing Director of Denham Mining GP LLC, general partner of Denham Mining GP LP, general partner of Denham Mining Fund LP</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Denham Mining GP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Anthony Fiore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Anthony Fiore, Managing Director of Denham Mining GP LLC, general partner of Denham Mining GP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Denham Mining GP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Anthony Fiore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Anthony Fiore, Managing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5926" w:type="dxa"/>
        <w:jc w:val="left"/>
        <w:tblInd w:w="0" w:type="dxa"/>
        <w:tblLayout w:type="fixed"/>
        <w:tblCellMar>
          <w:top w:w="28" w:type="dxa"/>
          <w:left w:w="28" w:type="dxa"/>
          <w:bottom w:w="28" w:type="dxa"/>
          <w:right w:w="28" w:type="dxa"/>
        </w:tblCellMar>
      </w:tblPr>
      <w:tblGrid>
        <w:gridCol w:w="5926"/>
      </w:tblGrid>
      <w:tr>
        <w:trPr/>
        <w:tc>
          <w:tcPr>
            <w:tcW w:w="5926" w:type="dxa"/>
            <w:tcBorders/>
            <w:vAlign w:val="center"/>
          </w:tcPr>
          <w:p>
            <w:pPr>
              <w:pStyle w:val="TableContents"/>
              <w:bidi w:val="0"/>
              <w:spacing w:before="0" w:after="283"/>
              <w:jc w:val="center"/>
              <w:rPr>
                <w:b/>
              </w:rPr>
            </w:pPr>
            <w:r>
              <w:rPr>
                <w:b/>
              </w:rPr>
              <w:t xml:space="preserve">Exhibit Information </w:t>
            </w:r>
          </w:p>
        </w:tc>
      </w:tr>
      <w:tr>
        <w:trPr/>
        <w:tc>
          <w:tcPr>
            <w:tcW w:w="5926" w:type="dxa"/>
            <w:tcBorders/>
            <w:vAlign w:val="center"/>
          </w:tcPr>
          <w:p>
            <w:pPr>
              <w:pStyle w:val="TableContents"/>
              <w:bidi w:val="0"/>
              <w:spacing w:before="0" w:after="283"/>
              <w:jc w:val="left"/>
              <w:rPr/>
            </w:pPr>
            <w:r>
              <w:rPr/>
              <w:t>Exhibit 1: Joint Filing Agreement, dated September 11, 2026</w:t>
            </w:r>
          </w:p>
        </w:tc>
      </w:tr>
    </w:tbl>
    <w:p>
      <w:pPr>
        <w:pStyle w:val="TextBody"/>
        <w:bidi w:val="0"/>
        <w:spacing w:before="0" w:after="0"/>
        <w:jc w:val="right"/>
        <w:rPr/>
      </w:pPr>
      <w:bookmarkStart w:id="36" w:name="jointfilingagreement.htm"/>
      <w:bookmarkStart w:id="37" w:name="ksjointfilingagreement"/>
      <w:bookmarkEnd w:id="36"/>
      <w:bookmarkEnd w:id="37"/>
      <w:r>
        <w:rPr>
          <w:b/>
          <w:color w:val="000000"/>
          <w:sz w:val="22"/>
        </w:rPr>
        <w:t>EXHIBIT 1</w:t>
      </w:r>
      <w:r>
        <w:rPr/>
        <w:t xml:space="preserve"> </w:t>
      </w:r>
      <w:r>
        <w:br w:type="page"/>
      </w:r>
    </w:p>
    <w:p>
      <w:pPr>
        <w:pStyle w:val="TextBody"/>
        <w:bidi w:val="0"/>
        <w:spacing w:before="0" w:after="0"/>
        <w:jc w:val="right"/>
        <w:rPr/>
      </w:pPr>
      <w:r>
        <w:rPr/>
        <w:t xml:space="preserve">  </w:t>
      </w:r>
    </w:p>
    <w:p>
      <w:pPr>
        <w:pStyle w:val="TextBody"/>
        <w:bidi w:val="0"/>
        <w:spacing w:before="0" w:after="0"/>
        <w:jc w:val="center"/>
        <w:rPr/>
      </w:pPr>
      <w:r>
        <w:rPr>
          <w:b/>
          <w:color w:val="000000"/>
          <w:sz w:val="22"/>
        </w:rPr>
        <w:t>JOINT FILING AGREEMENT</w:t>
      </w:r>
      <w:r>
        <w:rPr/>
        <w:t xml:space="preserve"> </w:t>
      </w:r>
    </w:p>
    <w:p>
      <w:pPr>
        <w:pStyle w:val="TextBody"/>
        <w:bidi w:val="0"/>
        <w:spacing w:before="0" w:after="0"/>
        <w:jc w:val="center"/>
        <w:rPr/>
      </w:pPr>
      <w:r>
        <w:rPr/>
        <w:t xml:space="preserve">  </w:t>
      </w:r>
    </w:p>
    <w:p>
      <w:pPr>
        <w:pStyle w:val="TextBody"/>
        <w:bidi w:val="0"/>
        <w:spacing w:before="0" w:after="0"/>
        <w:jc w:val="left"/>
        <w:rPr/>
      </w:pPr>
      <w:r>
        <w:rPr>
          <w:sz w:val="22"/>
        </w:rPr>
        <w:t>The undersigned hereby agree that the statement on Schedule 13G with respect to the Common Stock, par value $0.0001 per share, of USA Rare Earth, Inc., dated as of September 11, 2026, is, and any amendments thereto (including amendments on Schedule 13D) signed by each of the undersigned shall be, filed on behalf of each of us pursuant to and in accordance with the provisions of Rule 13d-1(k) under the Securities Exchange Act of 1934, as amended.</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95"/>
        <w:gridCol w:w="1205"/>
        <w:gridCol w:w="8805"/>
      </w:tblGrid>
      <w:tr>
        <w:trPr/>
        <w:tc>
          <w:tcPr>
            <w:tcW w:w="19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0"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t>Serra Verde Rare Earths Ltd.</w:t>
            </w:r>
            <w:r>
              <w:rPr/>
              <w:t xml:space="preserve"> </w:t>
            </w:r>
          </w:p>
          <w:p>
            <w:pPr>
              <w:pStyle w:val="TableContents"/>
              <w:bidi w:val="0"/>
              <w:spacing w:before="0" w:after="0"/>
              <w:jc w:val="left"/>
              <w:rPr/>
            </w:pP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/s/ Anthony Fiore</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Anthony Fiore, Director</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09/11/2026</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05"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0"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br/>
              <w:t>MVB Investment Holdings LLC</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br/>
              <w:t>Signature: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br/>
              <w:t>/s/ Anthony Fiore</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Anthony Fiore, Vice President &amp; Secretary, Manager on the Board of Managers</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09/11/2026</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05"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0"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br/>
              <w:t>Pembroke Resources II Holdings (Cayman) LLC</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br/>
              <w:t>Signature: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br/>
              <w:t>/s/ Anthony Fiore</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Anthony Fiore, Vice President &amp; Secretary, Managing Director</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09/11/2026</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05"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0"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br/>
              <w:t>Denham Mining Fund LP</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br/>
              <w:t>Signature: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br/>
              <w:t>/s/ Anthony Fiore</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Anthony Fiore, Managing Director of Denham Mining GP LLC, general partner of Denham Mining GP LP, general partner of Denham Mining Fund LP</w:t>
            </w:r>
            <w:r>
              <w:rPr/>
              <w:t xml:space="preserve"> </w:t>
            </w:r>
          </w:p>
        </w:tc>
      </w:tr>
      <w:tr>
        <w:trPr/>
        <w:tc>
          <w:tcPr>
            <w:tcW w:w="195"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5"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5" w:type="dxa"/>
            <w:tcBorders/>
            <w:tcMar>
              <w:top w:w="0" w:type="dxa"/>
              <w:left w:w="0" w:type="dxa"/>
              <w:bottom w:w="0" w:type="dxa"/>
              <w:right w:w="0" w:type="dxa"/>
            </w:tcMar>
            <w:vAlign w:val="center"/>
          </w:tcPr>
          <w:p>
            <w:pPr>
              <w:pStyle w:val="TableContents"/>
              <w:bidi w:val="0"/>
              <w:spacing w:before="0" w:after="0"/>
              <w:jc w:val="left"/>
              <w:rPr/>
            </w:pPr>
            <w:r>
              <w:rPr>
                <w:color w:val="000000"/>
                <w:sz w:val="22"/>
              </w:rPr>
              <w:t>09/11/2026</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11"/>
        <w:gridCol w:w="1278"/>
        <w:gridCol w:w="8716"/>
      </w:tblGrid>
      <w:tr>
        <w:trPr/>
        <w:tc>
          <w:tcPr>
            <w:tcW w:w="211"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 </w:t>
            </w:r>
          </w:p>
        </w:tc>
        <w:tc>
          <w:tcPr>
            <w:tcW w:w="8716" w:type="dxa"/>
            <w:tcBorders/>
            <w:vAlign w:val="center"/>
          </w:tcPr>
          <w:p>
            <w:pPr>
              <w:pStyle w:val="TableContents"/>
              <w:bidi w:val="0"/>
              <w:spacing w:before="0" w:after="283"/>
              <w:jc w:val="left"/>
              <w:rPr/>
            </w:pPr>
            <w:r>
              <w:rPr/>
              <w:t> </w:t>
            </w:r>
          </w:p>
        </w:tc>
      </w:tr>
      <w:tr>
        <w:trPr/>
        <w:tc>
          <w:tcPr>
            <w:tcW w:w="2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9994"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br/>
              <w:t>Denham Mining GP LP</w:t>
            </w:r>
            <w:r>
              <w:rPr/>
              <w:t xml:space="preserve"> </w:t>
            </w:r>
          </w:p>
        </w:tc>
      </w:tr>
      <w:tr>
        <w:trPr/>
        <w:tc>
          <w:tcPr>
            <w:tcW w:w="2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78" w:type="dxa"/>
            <w:tcBorders/>
            <w:tcMar>
              <w:top w:w="0" w:type="dxa"/>
              <w:left w:w="0" w:type="dxa"/>
              <w:bottom w:w="0" w:type="dxa"/>
              <w:right w:w="0" w:type="dxa"/>
            </w:tcMar>
            <w:vAlign w:val="center"/>
          </w:tcPr>
          <w:p>
            <w:pPr>
              <w:pStyle w:val="TableContents"/>
              <w:bidi w:val="0"/>
              <w:spacing w:before="0" w:after="0"/>
              <w:jc w:val="left"/>
              <w:rPr/>
            </w:pPr>
            <w:r>
              <w:rPr>
                <w:b/>
                <w:color w:val="000000"/>
                <w:sz w:val="22"/>
              </w:rPr>
              <w:br/>
              <w:t>Signature:</w:t>
            </w:r>
            <w:r>
              <w:rPr/>
              <w:t xml:space="preserve"> </w:t>
            </w:r>
          </w:p>
        </w:tc>
        <w:tc>
          <w:tcPr>
            <w:tcW w:w="8716" w:type="dxa"/>
            <w:tcBorders/>
            <w:tcMar>
              <w:top w:w="0" w:type="dxa"/>
              <w:left w:w="0" w:type="dxa"/>
              <w:bottom w:w="0" w:type="dxa"/>
              <w:right w:w="0" w:type="dxa"/>
            </w:tcMar>
            <w:vAlign w:val="center"/>
          </w:tcPr>
          <w:p>
            <w:pPr>
              <w:pStyle w:val="TableContents"/>
              <w:bidi w:val="0"/>
              <w:spacing w:before="0" w:after="0"/>
              <w:jc w:val="left"/>
              <w:rPr/>
            </w:pPr>
            <w:r>
              <w:rPr>
                <w:color w:val="000000"/>
                <w:sz w:val="22"/>
              </w:rPr>
              <w:br/>
              <w:t>/s/ Anthony Fiore</w:t>
            </w:r>
            <w:r>
              <w:rPr/>
              <w:t xml:space="preserve"> </w:t>
            </w:r>
          </w:p>
        </w:tc>
      </w:tr>
      <w:tr>
        <w:trPr/>
        <w:tc>
          <w:tcPr>
            <w:tcW w:w="2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78"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716" w:type="dxa"/>
            <w:tcBorders/>
            <w:tcMar>
              <w:top w:w="0" w:type="dxa"/>
              <w:left w:w="0" w:type="dxa"/>
              <w:bottom w:w="0" w:type="dxa"/>
              <w:right w:w="0" w:type="dxa"/>
            </w:tcMar>
            <w:vAlign w:val="center"/>
          </w:tcPr>
          <w:p>
            <w:pPr>
              <w:pStyle w:val="TableContents"/>
              <w:bidi w:val="0"/>
              <w:spacing w:before="0" w:after="0"/>
              <w:jc w:val="left"/>
              <w:rPr/>
            </w:pPr>
            <w:r>
              <w:rPr>
                <w:color w:val="000000"/>
                <w:sz w:val="22"/>
              </w:rPr>
              <w:t>Anthony Fiore, Managing Director of Denham Mining GP LLC, general partner of Denham Mining GP LP</w:t>
            </w:r>
            <w:r>
              <w:rPr/>
              <w:t xml:space="preserve"> </w:t>
            </w:r>
          </w:p>
        </w:tc>
      </w:tr>
      <w:tr>
        <w:trPr/>
        <w:tc>
          <w:tcPr>
            <w:tcW w:w="2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78"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716" w:type="dxa"/>
            <w:tcBorders/>
            <w:tcMar>
              <w:top w:w="0" w:type="dxa"/>
              <w:left w:w="0" w:type="dxa"/>
              <w:bottom w:w="0" w:type="dxa"/>
              <w:right w:w="0" w:type="dxa"/>
            </w:tcMar>
            <w:vAlign w:val="center"/>
          </w:tcPr>
          <w:p>
            <w:pPr>
              <w:pStyle w:val="TableContents"/>
              <w:bidi w:val="0"/>
              <w:spacing w:before="0" w:after="0"/>
              <w:jc w:val="left"/>
              <w:rPr/>
            </w:pPr>
            <w:r>
              <w:rPr>
                <w:color w:val="000000"/>
                <w:sz w:val="22"/>
              </w:rPr>
              <w:t>09/11/2026</w:t>
            </w:r>
            <w:r>
              <w:rPr/>
              <w:t xml:space="preserve"> </w:t>
            </w:r>
          </w:p>
        </w:tc>
      </w:tr>
    </w:tbl>
    <w:tbl>
      <w:tblPr>
        <w:tblW w:w="5008" w:type="dxa"/>
        <w:jc w:val="left"/>
        <w:tblInd w:w="0" w:type="dxa"/>
        <w:tblLayout w:type="fixed"/>
        <w:tblCellMar>
          <w:top w:w="28" w:type="dxa"/>
          <w:left w:w="28" w:type="dxa"/>
          <w:bottom w:w="28" w:type="dxa"/>
          <w:right w:w="28" w:type="dxa"/>
        </w:tblCellMar>
      </w:tblPr>
      <w:tblGrid>
        <w:gridCol w:w="221"/>
        <w:gridCol w:w="1321"/>
        <w:gridCol w:w="3466"/>
      </w:tblGrid>
      <w:tr>
        <w:trPr/>
        <w:tc>
          <w:tcPr>
            <w:tcW w:w="2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787"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br/>
              <w:t>Denham Mining GP LLC</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br/>
              <w:t>Signature:</w:t>
            </w: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left"/>
              <w:rPr/>
            </w:pPr>
            <w:r>
              <w:rPr>
                <w:color w:val="000000"/>
                <w:sz w:val="22"/>
              </w:rPr>
              <w:br/>
              <w:t>/s/ Anthony Fiore</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left"/>
              <w:rPr/>
            </w:pPr>
            <w:r>
              <w:rPr>
                <w:color w:val="000000"/>
                <w:sz w:val="22"/>
              </w:rPr>
              <w:t>Anthony Fiore, Managing Director</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321"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left"/>
              <w:rPr/>
            </w:pPr>
            <w:r>
              <w:rPr>
                <w:color w:val="000000"/>
                <w:sz w:val="22"/>
              </w:rPr>
              <w:t>09/11/2026</w:t>
            </w:r>
            <w:r>
              <w:rPr/>
              <w:t xml:space="preserve"> </w:t>
            </w:r>
          </w:p>
        </w:tc>
      </w:tr>
    </w:tbl>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2378</Words>
  <Characters>12310</Characters>
  <CharactersWithSpaces>14679</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