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156845</wp:posOffset>
            </wp:positionV>
            <wp:extent cx="246888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Rare Earth,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7"/>
              </w:rPr>
              <w:t>001-41711</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98-1720278</w:t>
            </w:r>
          </w:p>
        </w:tc>
      </w:tr>
      <w:tr>
        <w:trPr>
          <w:trHeight w:val="196"/>
        </w:trPr>
        <w:tc>
          <w:tcPr>
            <w:tcW w:w="3020" w:type="dxa"/>
            <w:vAlign w:val="bottom"/>
            <w:tcBorders>
              <w:top w:val="single" w:sz="8" w:color="auto"/>
            </w:tcBorders>
          </w:tcPr>
          <w:p>
            <w:pPr>
              <w:jc w:val="center"/>
              <w:ind w:left="510"/>
              <w:spacing w:after="0" w:line="195" w:lineRule="exact"/>
              <w:rPr>
                <w:sz w:val="20"/>
                <w:szCs w:val="20"/>
                <w:color w:val="auto"/>
              </w:rPr>
            </w:pPr>
            <w:r>
              <w:rPr>
                <w:rFonts w:ascii="Times New Roman" w:cs="Times New Roman" w:eastAsia="Times New Roman" w:hAnsi="Times New Roman"/>
                <w:sz w:val="18"/>
                <w:szCs w:val="18"/>
                <w:i w:val="1"/>
                <w:iCs w:val="1"/>
                <w:color w:val="auto"/>
                <w:w w:val="99"/>
              </w:rPr>
              <w:t>(State or Other Jurisdiction</w:t>
            </w: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670"/>
              <w:spacing w:after="0" w:line="195"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of 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12"/>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100 W. Airport Road, Stillwater, OK 74075</w:t>
            </w:r>
          </w:p>
        </w:tc>
        <w:tc>
          <w:tcPr>
            <w:tcW w:w="2840" w:type="dxa"/>
            <w:vAlign w:val="bottom"/>
          </w:tcPr>
          <w:p>
            <w:pPr>
              <w:spacing w:after="0"/>
              <w:rPr>
                <w:sz w:val="24"/>
                <w:szCs w:val="24"/>
                <w:color w:val="auto"/>
              </w:rPr>
            </w:pPr>
          </w:p>
        </w:tc>
      </w:tr>
      <w:tr>
        <w:trPr>
          <w:trHeight w:val="236"/>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(Zip Code)</w:t>
            </w:r>
          </w:p>
        </w:tc>
        <w:tc>
          <w:tcPr>
            <w:tcW w:w="2840" w:type="dxa"/>
            <w:vAlign w:val="bottom"/>
          </w:tcPr>
          <w:p>
            <w:pPr>
              <w:spacing w:after="0"/>
              <w:rPr>
                <w:sz w:val="20"/>
                <w:szCs w:val="20"/>
                <w:color w:val="auto"/>
              </w:rPr>
            </w:pPr>
          </w:p>
        </w:tc>
      </w:tr>
      <w:tr>
        <w:trPr>
          <w:trHeight w:val="412"/>
        </w:trPr>
        <w:tc>
          <w:tcPr>
            <w:tcW w:w="3020" w:type="dxa"/>
            <w:vAlign w:val="bottom"/>
          </w:tcPr>
          <w:p>
            <w:pPr>
              <w:spacing w:after="0"/>
              <w:rPr>
                <w:sz w:val="24"/>
                <w:szCs w:val="24"/>
                <w:color w:val="auto"/>
              </w:rPr>
            </w:pPr>
          </w:p>
        </w:tc>
        <w:tc>
          <w:tcPr>
            <w:tcW w:w="44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(813) 867-6155</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6"/>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2840" w:type="dxa"/>
            <w:vAlign w:val="bottom"/>
          </w:tcPr>
          <w:p>
            <w:pPr>
              <w:spacing w:after="0"/>
              <w:rPr>
                <w:sz w:val="20"/>
                <w:szCs w:val="20"/>
                <w:color w:val="auto"/>
              </w:rPr>
            </w:pPr>
          </w:p>
        </w:tc>
      </w:tr>
      <w:tr>
        <w:trPr>
          <w:trHeight w:val="412"/>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40" w:type="dxa"/>
            <w:vAlign w:val="bottom"/>
          </w:tcPr>
          <w:p>
            <w:pPr>
              <w:spacing w:after="0"/>
              <w:rPr>
                <w:sz w:val="24"/>
                <w:szCs w:val="24"/>
                <w:color w:val="auto"/>
              </w:rPr>
            </w:pPr>
          </w:p>
        </w:tc>
      </w:tr>
      <w:tr>
        <w:trPr>
          <w:trHeight w:val="236"/>
        </w:trPr>
        <w:tc>
          <w:tcPr>
            <w:tcW w:w="3020" w:type="dxa"/>
            <w:vAlign w:val="bottom"/>
          </w:tcPr>
          <w:p>
            <w:pPr>
              <w:spacing w:after="0"/>
              <w:rPr>
                <w:sz w:val="20"/>
                <w:szCs w:val="20"/>
                <w:color w:val="auto"/>
              </w:rPr>
            </w:pPr>
          </w:p>
        </w:tc>
        <w:tc>
          <w:tcPr>
            <w:tcW w:w="53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i w:val="1"/>
                <w:iCs w:val="1"/>
                <w:color w:val="auto"/>
                <w:w w:val="99"/>
              </w:rPr>
              <w:t>(Former Name or Former Address, if Changed Since Last Report)</w:t>
            </w:r>
          </w:p>
        </w:tc>
        <w:tc>
          <w:tcPr>
            <w:tcW w:w="284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31"/>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420" w:hanging="331"/>
        <w:spacing w:after="0"/>
        <w:tabs>
          <w:tab w:leader="none" w:pos="4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500" w:lineRule="auto"/>
        <w:tabs>
          <w:tab w:leader="none" w:pos="39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previously announced, USA Rare Earth, Inc. (“USAR,” “we,” “our,” and “us”) entered into a definitive Agreement and Plan of Merger (the “Merger Agreement”), dated as of April 19, 2026, by and among (i) USAR, (ii) Middlebury Merger Sub Ltd., a business company limited by shares incorporated under the laws of the British Virgin Islands and an indirect, wholly owned Subsidiary of USAR, (iii) SVRE Holdings Ltd., a business company limited by shares incorporated under the laws of the British Virgin Islands (“SVRE”), and (iv) Serra Verde Rare Earths Ltd., a company incorporated and existing under the laws of the British Virgin Islands, solely in its capacity as the representative of SVRE’s shareholders. The Merger Agreement provides for the merger of SVRE with and into Merger Sub, with Merger Sub surviving such merger as an indirect, wholly owned subsidiary of USAR.</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transactions contemplated by the Merger Agreement (the “Merger”), on June 15, 2026, USAR filed with the Securities and Exchange Commission (the “SEC”) Amendment No. 1 (“Amendment No. 1”) to the preliminary proxy statement that that was filed on Schedule 14A on May 13, 2026 (together with Amendment No. 1, the “Preliminary Proxy Statement”), which included USAR’s unaudited pro forma condensed combined financial statements as of and for the three months ended March 31, 2026 and for the year ended December 31, 2025, giving effect to the Merger (the “Updated USAR Pro Forma Financial Statements”). USAR is filing this Current Report on Form 8-K for the purpose of disclosing the Updated USAR Pro Forma Financial Statements and certain other updated disclosures that were included in Amendment No. 1. The Updated USAR Pro Forma Financial Statements and other updated disclosures are included in Exhibit 99.1 and Exhibit 99.2 hereto. As a public company, our filings are subject to review by the SEC, including the Preliminary Proxy Statement, filed in connection with the Merger, which includes USAR’s pro forma financial statements referenced above, which could cause changes or modifications to such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This report, including the exhibits filed hereto, contains “forward-looking statements” within the meaning of the Private Securities Litigation Reform Act of 1995. These statements include those relating to the proposed U.S. government collaboration and the expected timing of executing definitive documents relating thereto, the proposed acquisition of Serra Verde Group (“SVG”), our business plans, strategy, goals and prospects, our plans for and prospects of our other acquisitions, investments and other business development activities, including the announced Carester SAS (“Carester”) and Texas Mineral Resources Corp. (“TMRC”) transactions and other statements regarding USAR’s expectations for future development, operations, strategies, transactions and financial performance. Such statements can be identified by the fact that they do not relate strictly to historical or current facts. Words such as “aim,” “anticipate,” “believe,” “can,” “continue,” “could,” “estimate,” “expect,” “growth,” “intend,” “may,” “might,” “plan,” “potential,” “project,” “propose,” “should,” “target,” “vision,” “will,” “would” and similar expressions may identify forward-looking statements, but the absence of these words does not mean that a statement is not forward-looking.</w:t>
      </w:r>
    </w:p>
    <w:p>
      <w:pPr>
        <w:spacing w:after="0" w:line="18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Forward-looking statements are subject to risks and uncertainties and potentially inaccurate assumptions that could cause actual results to differ materially from our expectations, including without limitation: risks that the proposed transactions with Serra Verde Group, Carester SAS and Texas Mineral Resources Corp. may not be consummated on their anticipated timelines or at all; we may not realize the anticipated benefits of our proposed and prior acquisitions, including expected synergies, financial performance, estimated EBITDA and, in the case of Serra Verde Group, integration of operations, on the anticipated timeline or at all; the ability of our Stillwater facility or other future magnet manufacturing facilities to commence commercial operations on the timing and with the production capacity anticipated or at all; our limited operating history; our ability to commercially extract minerals from the Round Top deposit on our anticipated timeline or at all; risks that we may experience delays, unforeseen expenses, increased capital costs, and other complications in operating our business; our ability to raise necessary capital on acceptable terms or at all; potential dilution to existing stockholders and adverse effect on our stock price if we issue additional common stock or equity-linked securities; the volatility of our stock price; our ability to satisfy project milestones and other conditions to disbursement under our financing arrangement with the Department of Commerce (“DOC”) on the anticipated timeline or at all; our dependence on continued governmental support for the DOC financing transactions, which remains subject to changes in laws, regulations, administrations and appropriations; extensive affirmative and negative covenants, domestic content and national security guardrail provisions and ongoing reporting obligations in the DOC financing agreements that restrict our operational and financial flexibility; the risk that defaults under the DOC funding agreements could trigger cross-defaults across our financing arrangements; the impact of the DOC’s equity interest in us on our ability to pursue strategic transactions and on our relationships with customers, suppliers, partners and other counterparties; the availability of rare earth oxide, metal feedstock and other materials, utilities (including power and water) and equipment in quantities and prices that allow us to develop and commercially operate our Stillwater facility and other facilities; our ability to meet individual customer specifications and manufacture a consistently high quality product; fluctuations in demand for and prices of our products, including without limitation as a result of dumping, predatory pricing and other tactics by the Company’s competitors or state actors or the overall competitive environment; our ability to achieve positive cash flow or profitability or the ability to access cash flow within our corporate structure due to restrictions contained in our financing agreements; our ability to convert current commercial discussions and/or memorandums of understanding with customers for the sale of our neo magnets and other products into definitive orders; geopolitical developments or disruptions, such as changes in the political environment, export/import or environmental policy of the People’s Republic of China, the United States or other countries in which we operate or sell products or otherwise; war, terrorism, natural disasters or public health emergencies; our ability to retain or recruit key personnel; environmental, health and safety regulations; and our ability to comply with requirements for federal, state and local government incentives and financing.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Additional risks and detailed information regarding factors that may cause actual results to differ materially has been and will be included in the Company’s filings with the SEC. Any forward-looking statements speak only as of the date of this report (or such other date as is specified in such statements), and USAR undertakes no obligation to update any forward-looking statements as a result of new information or future events or developments, except to the extent required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Merger, USAR filed the Preliminary Proxy Statement and, following SEC review, intends to file a definitive proxy statement (together with any amendments or supplements thereto,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to be distributed to USAR’s stockholders in connection with USAR’s solicitation of proxies for the vote by USAR’s stockholders with respect to the issuance of USAR common stock as merger consideration and other matters described in the Proxy Statement. SVRE’s shareholders approved the merger by written consent which was delivered concurrently with the signing of the merger agreement and will not receive a proxy statement or prospectus. USAR also plans to file with or furnish to the SEC other relevant documents regarding the Merger. After SEC review of the preliminary proxy statement is completed, the definitive Proxy Statement will be mailed to stockholders of USAR. BEFORE MAKING ANY VOTING OR INVESTMENT DECISION, INVESTORS AND SECURITY HOLDERS ARE URGED TO READ THE PROXY STATEMENT AND ALL OTHER RELEVANT DOCUMENTS THAT ARE OR WILL BE FILED WITH OR FURNISHED TO THE SEC, AS WELL AS ANY AMENDMENTS OR SUPPLEMENTS TO THESE DOCUMENTS, CAREFULLY AND IN THEIR ENTIRETY WHEN THEY BECOME AVAILABLE BECAUSE THEY CONTAIN OR WILL CONTAIN IMPORTANT INFORMATION ABOUT THE MERGER AND RELATED MATTERS.</w:t>
      </w:r>
    </w:p>
    <w:p>
      <w:pPr>
        <w:spacing w:after="0" w:line="19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Proxy Statement and other documents containing important information about USAR and the Merger, once such documents are filed with or furnished to the SEC through the website maintained by the SEC at www.sec.gov. Copies of the documents filed with or furnished to the SEC by USAR will be available free of charge on USAR’s website at investors.usare.com or by contacting USAR’s Investor Relations department by email at IR@usare.com. The information included on, or accessible through, USAR’s website is not incorporated by reference into this communication.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USAR and certain of its directors and executive officers and other members of its management and employees may be deemed to be participants in the solicitation of proxies in respect of the Merger.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about the directors and executive officers of USAR, including a description of their direct or indirect interests, by security holdings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is contained in USAR’s Preliminary Proxy Statement. Any changes in the holdings of USAR’s securities by USAR’s directors or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from the amounts described in the Preliminary Proxy Statement will be reflected in Statements of Changes in Beneficial Ownership on Form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4</w:t>
      </w:r>
      <w:r>
        <w:rPr>
          <w:rFonts w:ascii="Times New Roman" w:cs="Times New Roman" w:eastAsia="Times New Roman" w:hAnsi="Times New Roman"/>
          <w:sz w:val="18"/>
          <w:szCs w:val="18"/>
          <w:color w:val="auto"/>
        </w:rPr>
        <w:t>”) or Annual Statements of Changes in Beneficial Ownership of Securities on Form 5 (“</w:t>
      </w:r>
      <w:r>
        <w:rPr>
          <w:rFonts w:ascii="Times New Roman" w:cs="Times New Roman" w:eastAsia="Times New Roman" w:hAnsi="Times New Roman"/>
          <w:sz w:val="18"/>
          <w:szCs w:val="18"/>
          <w:u w:val="single" w:color="auto"/>
          <w:color w:val="auto"/>
        </w:rPr>
        <w:t>Form 5</w:t>
      </w:r>
      <w:r>
        <w:rPr>
          <w:rFonts w:ascii="Times New Roman" w:cs="Times New Roman" w:eastAsia="Times New Roman" w:hAnsi="Times New Roman"/>
          <w:sz w:val="18"/>
          <w:szCs w:val="18"/>
          <w:color w:val="auto"/>
        </w:rPr>
        <w:t>”) subsequently filed with the SEC and available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SEC’s website at www.sec.gov. Additional information regarding the interests of such participants will be contained in the Proxy Statement when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buy or sell or the solicitation of an offer to buy or sell any securities, or a solicitation of any vote or approval on the Merger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pursuant to an applicable exemption therefrom.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attached with this current report on Form 8-K: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00" w:type="dxa"/>
            <w:vAlign w:val="bottom"/>
            <w:tcBorders>
              <w:top w:val="single" w:sz="8" w:color="auto"/>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statements of USAR as of and for the three months ended March 31, 2026, and for the</w:t>
            </w: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year ended December 31, 2025</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top w:val="single" w:sz="8" w:color="CCEEFF"/>
            </w:tcBorders>
          </w:tcPr>
          <w:p>
            <w:pPr>
              <w:spacing w:after="0"/>
              <w:rPr>
                <w:sz w:val="15"/>
                <w:szCs w:val="15"/>
                <w:color w:val="auto"/>
              </w:rPr>
            </w:pPr>
          </w:p>
        </w:tc>
        <w:tc>
          <w:tcPr>
            <w:tcW w:w="196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Other Updated Disclosures</w:t>
            </w:r>
          </w:p>
        </w:tc>
        <w:tc>
          <w:tcPr>
            <w:tcW w:w="280" w:type="dxa"/>
            <w:vAlign w:val="bottom"/>
            <w:tcBorders>
              <w:top w:val="single" w:sz="8" w:color="0000EE"/>
            </w:tcBorders>
          </w:tcPr>
          <w:p>
            <w:pPr>
              <w:spacing w:after="0"/>
              <w:rPr>
                <w:sz w:val="15"/>
                <w:szCs w:val="15"/>
                <w:color w:val="auto"/>
              </w:rPr>
            </w:pPr>
          </w:p>
        </w:tc>
        <w:tc>
          <w:tcPr>
            <w:tcW w:w="7860" w:type="dxa"/>
            <w:vAlign w:val="bottom"/>
            <w:tcBorders>
              <w:top w:val="single" w:sz="8" w:color="CCEEFF"/>
            </w:tcBorders>
            <w:gridSpan w:val="2"/>
          </w:tcPr>
          <w:p>
            <w:pPr>
              <w:spacing w:after="0"/>
              <w:rPr>
                <w:sz w:val="15"/>
                <w:szCs w:val="15"/>
                <w:color w:val="auto"/>
              </w:rPr>
            </w:pPr>
          </w:p>
        </w:tc>
      </w:tr>
    </w:tbl>
    <w:p>
      <w:pPr>
        <w:spacing w:after="0" w:line="9" w:lineRule="exact"/>
        <w:rPr>
          <w:sz w:val="20"/>
          <w:szCs w:val="20"/>
          <w:color w:val="auto"/>
        </w:rPr>
      </w:pPr>
    </w:p>
    <w:p>
      <w:pPr>
        <w:ind w:left="5580" w:right="4320" w:hanging="5572"/>
        <w:spacing w:after="0" w:line="783"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USA Rare Earth,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8"/>
          <w:szCs w:val="18"/>
          <w:color w:val="auto"/>
        </w:rPr>
        <w:t>By: /s/ Valerie Ford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Valerie Ford Jacob</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333" w:right="6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is derived from the historical consolidated financial statements of USA Rare Earth, Inc. (“USAR” or the “Company”), and the historical consolidated financial statements of SVRE Holdings Ltd. (“SVRE”), and gives effect to</w:t>
      </w:r>
    </w:p>
    <w:p>
      <w:pPr>
        <w:ind w:right="180" w:firstLine="8"/>
        <w:spacing w:after="0" w:line="260"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(as defined below), (ii) the Private Placement (as defined below), (iii) the Retained Finance Agreement (as defined below), (iv) the Offtake Agreement (as defined below), and (v) the issuance of Earnout Shares (as defined below) (collectively, the “Pro Forma Transactions”).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21, 2024, Inflection Point Acquisition Corp. II, a Cayman Islands exempted company (“IPXX”) entered into a Business Combination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amended on November 11, 2024 and January 30, 2025, the “Business Combination Agreement”), by and among IPXX, USA Rare Earth,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a Delaware limited liability company, and IPXX Merger Sub, LLC, a Delaware limited liability company and a direct wholly owned subsidiary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IPXX. Pursuant to the Business Combination Agreement, IPXX Merger Sub, LLC merged with and into USA Rare Earth, LLC, with USA Rare Earth,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continuing as the surviving company, and IPXX changed its name to USA Rare Earth, Inc. On March 13, 2025, USAR consummated the previously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announced merger contemplated by the Business Combination Agreement and USA Rare Earth, LLC became a direct wholly owned subsidiary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USAR. This transaction is already reflected in the USAR historical audited consolidated balance sheet as of December 31, 2025 and the historical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operations of IPXX from January 1, 2025 to March 12, 2025 is not material to the pro forma presentation of the Merger (as defined below)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 of unaudited pro forma condensed combined statement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April 19, 2026, USAR entered into a Merger Agreement by and among (i) USAR, (ii) Middlebury Merger Sub Ltd. (“Merger Sub”), (iii) SVRE, and (iv) Serra Verde Rare Earths Ltd. The Merger Agreement provides for the merger of SVRE with and into Merger Sub, with Merger Sub surviving such merger as an indirect, wholly owned subsidiary of USAR (the “Merger”), subject to the satisfaction or waiver of the conditions precedent to such closing. In the Merger, USAR will issue 126,849,307 shares of USAR’s common stock, par value $0.0001 per share (“Common Stock”) and pay an aggregate of $300 million of merger consideration.</w:t>
      </w:r>
    </w:p>
    <w:p>
      <w:pPr>
        <w:spacing w:after="0" w:line="183"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Upon closing, all outstanding warrants of SVRE will be automatically exercised and converted into SVRE ordinary shares immediately prior to the Merger. All outstanding RSUs and SARs, whether vested or unvested, will accelerate in full and be cancelled in exchange for a pro rata portion of the merger consideration. Stock options not subject to performance conditions will be similarly cancelled on a cashless basis for merger consideration, while performance-vesting options held by continuing service providers will be substituted with USAR RSUs subject to continued service vesting. SVRE’s equity incentive plan will be terminated at closing.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On January 26, 2026, USAR, entered into a securities purchase agreement, for the private placement of 69,767,442 shares of the USAR’s Common Stock, for aggregate gross proceeds of approximately $1.5 billion, at a price per share of $21.50 (the “Private Placement”). USAR closed the Private Placement and issued the shares of Common Stock on January 28,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Parent Loan Agreement</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January 26, 2026, USAR also entered into non-binding letters of intent with the U.S. Department of Commerce (the “DOC”) covering a total of approximately $1.6 billion, including $277.0 million in direct funding awards under the Creating Helpful Incentives to Produce Semiconductors and Science Act (the “CHIPS Act”), and $1.3 billion in senior secured debt with a 15-year term with an expected rate of United States Treasury + 150 basis points (collectively, the “Expected U.S. Government Transaction”). Disbursement of the direct funding and debt proceeds to USAR is contingent upon USAR achieving certain project, financing and commercial milestones. The letter of intent for the Expected U.S. Government Transaction is non-binding and remains subject to negotiation and execution of definitive documentation (the “Definitive Agreements”), satisfaction of conditions precedent, and final government approvals. The Definitive Agreements were entered into on June 3, 2026. Considering that the Definitive Agreements require USAR to make investments and take future actions to receive funds, no adjustments for the Expected U.S. Government Transactions have been included within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execution and delivery of, and as inducement to enter into, the Direct Funding Agreement, USAR has entered into a Securities Issuance Agreement (the “Securities Issuance Agreement”) with the DOC pursuant to which USAR will issue to the DOC 16,132,790 shares of USAR Common Stock (the “SIA Shares”) and a warrant (the “DOC Warrant”) to purchase 17,600,584 shares of USAR Common Stock (the “Warrant Shares”) at an exercise price of $17.17 per share.</w:t>
      </w:r>
    </w:p>
    <w:p>
      <w:pPr>
        <w:spacing w:after="0" w:line="180"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The Company’s accounting for the Securities Issuance Agreement, including the issuance of the SIA Shares and the DOC warrant is preliminary. Accordingly, the treatment depicted in the unaudited pro forma condensed financial information may change as the Company completes its accounting assessment. Based on preliminary conclusions, the issuance of the SIA Shares has been reflected in the unaudited pro forma condensed combined balance sheet as of March 31, 2026 as an increase in stockholders’ equity, with a corresponding deferred financing cost recorded within other non-current assets. The deferred financing cost will commence amortization upon the initial drawdown of proceeds under the Direct Funding Agreement, which is subject to the achievement of various project-specific milestones, the making of cash equity contributions by USAR to its subsidiaries, the satisfaction of financial ratio and liquidity thresholds, the receipt of required permits and approvals and other customary conditions, which have not yet been satisfied. As the Company does not currently have access to draw funds under the Direct Funding Agreement as of the date of this filing, no amortization of the deferred financing cost has been reflected in the accompanying unaudited pro forma condensed combined financial information. The Company is in the process of determining its fair value and the proper accounting treatment of the DOC Warrant as of the issuance date. The fair value of the DOC Warrant may be material when recorded. Accordingly, no pro forma adjustment related to the DOC Warrant has been included in the accompanying unaudited pro forma condensed combined financial information. The fair value and the accounting of the DOC Warrant will be determined and recorded in the Company’s financial statements for the period ending June 30,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Retained Finance Agreement</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January 21, 2026, SVRE entered into a Finance Agreement with the United States International Development Finance Corporation (the “DFC”), which was amended on March 5, 2026 (as further amended from time to time, the “Retained Finance Agreement”). The Retained Finance Agreement provides SVRE with long-term debt financing to support its rare earth mining and processing operations in an aggregate committed amount not to exceed $565 million, consisting of (i) an initial loan tranche with a principal amount not to exceed $465 million (the “Initial Loan”), and (ii) a second loan tranche with a principal amount not to exceed $100 million (the “Incremental Loan”). As of March 31, 2026, the aggregate outstanding principal amount of indebtedness of SVRE and its subsidiaries under the Retained Finance Agreement was $325 million.</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May 28, 2026, SVRE and the DFC entered into the Second Amendment to the Finance Agreement, which formalized the inclusion of a $100 million Incremental Loan as a second tranche under the existing $465 million Initial Loan facility. The Second Amendment also extended the loan term for both tranches from up to 12 years to up to 15 years from the first closing date, upon the execution of the Offtake Agreement (see discussion below). In connection with the Incremental Loan, DFC was issued two warrants (the “DFC Warrants”) granting a combined 12% fully diluted equity interest in the Company, which will automatically exercise upon the closing of the Merger, at which point the Incremental Loan shall be deemed extinguished in full. The Incremental Loan was closed on June 4, 2026.</w:t>
      </w:r>
    </w:p>
    <w:p>
      <w:pPr>
        <w:spacing w:after="0" w:line="187" w:lineRule="exact"/>
        <w:rPr>
          <w:sz w:val="20"/>
          <w:szCs w:val="20"/>
          <w:color w:val="auto"/>
        </w:rPr>
      </w:pPr>
    </w:p>
    <w:p>
      <w:pPr>
        <w:jc w:val="both"/>
        <w:ind w:right="40" w:firstLine="324"/>
        <w:spacing w:after="0" w:line="256" w:lineRule="auto"/>
        <w:rPr>
          <w:sz w:val="20"/>
          <w:szCs w:val="20"/>
          <w:color w:val="auto"/>
        </w:rPr>
      </w:pPr>
      <w:r>
        <w:rPr>
          <w:rFonts w:ascii="Times New Roman" w:cs="Times New Roman" w:eastAsia="Times New Roman" w:hAnsi="Times New Roman"/>
          <w:sz w:val="18"/>
          <w:szCs w:val="18"/>
          <w:color w:val="auto"/>
        </w:rPr>
        <w:t>The Initial Loan issuance was reflected in the historical unaudited condensed consolidated balance sheet of SVRE as of March 31, 2026, accordingly, no adjustment has been reflected within the unaudited pro forma condensed combined balance sheet for such amounts. The Incremental Loan and the DFC Warrants issuance on June 4, 2026, and the DFC Warrants exercise and extinguishment of the Incremental Loan upon the closing of the Merger, have been included as an other material transaction adjustment within the unaudited pro forma condensed combined balance sheet as of March 31, 2026. Adjustments for the Initial Loan have been included within the unaudited pro forma condensed combined statement of operations for the three months ended March 31, 2026 and for the year ended December 31, 2025 assuming the Initial Loan was entered and drawn down on January 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Offtake Agreement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or about the date of the Merger Agreement, SV Management Switzerland AG (“SV Management Switzerland”), a subsidiary of SVRE, entered into an offtake agreement with a special purpose vehicle capitalized by the U.S. government, as well as private capital sources (the “Counterparty”) (as amended from time to time, the “Offtake Agreement”) for the long-term supply of rare earth materials produced by SVRE.</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Offtake Agreement provides for the sale of 100% of the rare earth products produced from phase one of the Pela Ema project, subject to limited carve-outs, although SVRE’s delivery obligation will be reduced to 75% of phase one production if the Incremental Loan is not fully disbursed by the agreed date. The agreement remains in effect until the earlier of specified production-based volume delivery thresholds and the date that is 20 years after the date on which SVRE’s facility becomes capable of producing the contemplated products (the “Commercial Operations Date”), unless extended with the consent of the U.S. government. Pricing is based on annually escalated contractual floor prices, with amounts above the applicable floor price, as well as certain cost savings and yield variances, allocated 70% to SV Management Switzerland and 30% to the Counterparty. Commencement of deliveries is subject to the satisfaction or waiver of specified conditions precedent by the agreed long-stop date, June 12, 2026, and either party may terminate the agreement without liability if such conditions are not satisfied or waived by that date. As the Offtake Agreement has been executed subsequent to March 31, 2026, adjustments related to the Offtake agreement have been included within the unaudited pro forma condensed combined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Issuance of Earnout Shares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between the Company and USA Rare Earth, LLC, the Company agreed to issue common stock of the Company (the “earnout shares”) to certain shareholders of USA Rare Earth, LLC in two tranches upon the occurrence of certain triggering events. On April 15, 2026, the Company achieved the market-price condition for the first tranche of earnout shares, as the Company’s common stock exceeded $15.00 per share for at least 20 out of 30 consecutive trading days. 5.05 million shares were issued to USA Rare Earth, LLC shareholders. The second tranche of 5.05 million earnout shares were issued on May 15, 2026 when the Company achieved the market-price condition for the second tranche, as the Company’s common stock exceeds $20.00 per share for at least 20 out of 30 consecutive trading days.</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earnout shares were classified as liabilities and remeasured at fair value on a recurring basis prior to conversion. Upon issuance of the two tranches of the earnout shares, the related earnout liability was reclassified to common stock and additional paid-in capital. The effect of the conversion has been included within the unaudited pro forma condensed combined balance sheet as of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Periods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Regulation S-X and should be read in conjunction with the accompanying notes.</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combines the unaudited condensed consolidated balance sheet of USAR as of March 31, 2026 with the unaudited condensed consolidated balance sheet of SVRE as of March 31, 2026, giving effect to the Pro Forma Transactions as if it had been consummated on March 31, 2026.</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three months ended March 31, 2026 combines the unaudited condensed consolidated statement of operations of USAR for the three months ended March 31, 2026 with the unaudited condensed consolidated statement of operations of SVRE for the three months ended March 31, 2026, giving effect to the Pro Forma Transactions as if it had been consummated on January 1, 2025.</w:t>
      </w:r>
    </w:p>
    <w:p>
      <w:pPr>
        <w:spacing w:after="0" w:line="18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2025 combines the audited consolidated statement of operations of USAR for the year ended December 31, 2025 with the audited consolidated statement of operations of SVRE for the year ended December 31, 2025, giving effect to the Pro Forma Transactions as if it had been consummated on January 1, 2025.</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and should be read in conjunction with, the following historical financial statements and the accompanying notes:</w:t>
      </w:r>
    </w:p>
    <w:p>
      <w:pPr>
        <w:spacing w:after="0" w:line="162" w:lineRule="exact"/>
        <w:rPr>
          <w:sz w:val="20"/>
          <w:szCs w:val="20"/>
          <w:color w:val="auto"/>
        </w:rPr>
      </w:pPr>
    </w:p>
    <w:p>
      <w:pPr>
        <w:ind w:left="660" w:right="1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USAR as of and for the year ended December 31, 2025, as included in the Company’s Annual Report on Form 10-K filed with the SEC on March 30, 2026;</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USAR as of and for the three months ended March 31, 2026, as included in the Company’s Quarterly Report on Form 10-Q filed with the SEC on May 14, 2026;</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SVRE as of and for the year ended December 31, 2025, included as Exhibit 99.3 in the Company’s Current Report on Form 8-K filed with the SEC on May 13, 2026.</w:t>
      </w:r>
    </w:p>
    <w:p>
      <w:pPr>
        <w:spacing w:after="0" w:line="162"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historical unaudited condensed consolidated balance sheet and statement of operations of SVRE as of and for the three months ended March 31, 2026 are derived from the books and records of SVRE. The unaudited pro forma condensed combined financial information should also be read together with other financial information included elsewhere or filed with the SEC.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Accounting for the Merger</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using the acquisition method of accounting in accordance with accounting principles generally accepted in the United States (“U.S. GAAP”). USAR has been identified as an accounting acquirer for accounting purposes, and thus accounts for the Merger as a business combination in accordance with Accounting Standards Codification Topic 805, Business Combinations (“ASC 805”). Under the acquisition method of accounting, SVRE’s assets and liabilities will be recorded at their respective fair values. Any difference between the purchase price for SVRE and the fair value of the identifiable net assets acquired (including intangibles) will be recorded as goodwill. The assets and liabilities of SVRE have been measured based on various preliminary estimates using assumptions that USAR’s management believes are reasonable and based on currently available information. Accordingly, the pro forma adjustments are preliminary and have been made solely for the purpose of providing this unaudited pro forma condensed combined financial information.</w:t>
      </w:r>
    </w:p>
    <w:p>
      <w:pPr>
        <w:spacing w:after="0" w:line="19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Differences between these preliminary estimates and the final purchase accounting may occur, and the final purchase accounting could be materially different from the preliminary estimates used to prepare the accompanying unaudited pro forma condensed combined financial information and could have a material impact on the combined company’s future results of operations and financial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appearing below does not consider any potential effects of changes in market conditions on revenues or expense efficiencies, among other factors. In addition, as explained in more detail in the accompanying notes, the preliminary allocation of the pro forma purchase price reflected in the unaudited pro forma condensed combined financial information is subject to adjustment and may vary significantly from what will be recorded upon completion of the final purchase price allocation.</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reflect transaction accounting adjustments related to the Pro Forma Transactions, which are discussed in further detail below. The unaudited pro forma condensed combined financial information is presented for illustrative purposes only and do not purport to represent the combined company’s consolidated results of operations or the consolidated financial position that would actually have occurred had the Pro Forma Transactions been consummated on the dates assumed or to project the combined company’s consolidated results of operations or consolidated financial position for any future date or period.</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accounting policies followed in preparing the unaudited pro forma condensed combined financial information are those used by USAR as set forth in the audited historical financial statements. Based on the Company’s initial review and understanding of SVRE’s significant accounting policies, there are no material adjustments required at this time to conform SVRE’s historical financial information to USAR’s significant accounting policies. A more comprehensive comparison and assessment will occur, which may result in additional differences being identified. Additionally, USAR has included certain preliminary presentation adjustments for consistency in the financial statement presentation. See Notes 2 and 3 below for more information.</w:t>
      </w:r>
    </w:p>
    <w:p>
      <w:pPr>
        <w:spacing w:after="0" w:line="183"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presented for illustrative purposes only and does not reflect the costs of any integration activities or cost savings or synergies that may be achieved because of the Merger.</w:t>
      </w:r>
    </w:p>
    <w:p>
      <w:pPr>
        <w:spacing w:after="0" w:line="162"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USAR and SVRE have not had any historical material relationship prior to the Merger. Accordingly, no pro forma adjustments were required to eliminate activities between the companies.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Pro</w:t>
            </w:r>
          </w:p>
        </w:tc>
      </w:tr>
      <w:tr>
        <w:trPr>
          <w:trHeight w:val="216"/>
        </w:trPr>
        <w:tc>
          <w:tcPr>
            <w:tcW w:w="3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USAR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SVRE</w:t>
            </w:r>
          </w:p>
        </w:tc>
        <w:tc>
          <w:tcPr>
            <w:tcW w:w="8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Presentation</w:t>
            </w:r>
          </w:p>
        </w:tc>
        <w:tc>
          <w:tcPr>
            <w:tcW w:w="38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Material</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Forma</w:t>
            </w:r>
          </w:p>
        </w:tc>
      </w:tr>
      <w:tr>
        <w:trPr>
          <w:trHeight w:val="245"/>
        </w:trPr>
        <w:tc>
          <w:tcPr>
            <w:tcW w:w="3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1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80" w:type="dxa"/>
            <w:vAlign w:val="bottom"/>
          </w:tcPr>
          <w:p>
            <w:pPr>
              <w:spacing w:after="0"/>
              <w:rPr>
                <w:sz w:val="21"/>
                <w:szCs w:val="21"/>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60" w:type="dxa"/>
            <w:vAlign w:val="bottom"/>
          </w:tcPr>
          <w:p>
            <w:pPr>
              <w:spacing w:after="0"/>
              <w:rPr>
                <w:sz w:val="21"/>
                <w:szCs w:val="21"/>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1,749,644</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110,417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(300,000) (B)</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99,000</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1,659,061</w:t>
            </w: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5,722</w:t>
            </w: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(241) (A)</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49,661</w:t>
            </w:r>
          </w:p>
        </w:tc>
      </w:tr>
      <w:tr>
        <w:trPr>
          <w:trHeight w:val="24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c>
          <w:tcPr>
            <w:tcW w:w="5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10,622</w:t>
            </w:r>
          </w:p>
        </w:tc>
      </w:tr>
      <w:tr>
        <w:trPr>
          <w:trHeight w:val="203"/>
        </w:trPr>
        <w:tc>
          <w:tcPr>
            <w:tcW w:w="362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1,790,386</w:t>
            </w: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135,680</w:t>
            </w: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99,000</w:t>
            </w: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1,725,066</w:t>
            </w:r>
          </w:p>
        </w:tc>
        <w:tc>
          <w:tcPr>
            <w:tcW w:w="100" w:type="dxa"/>
            <w:vAlign w:val="bottom"/>
            <w:tcBorders>
              <w:top w:val="single" w:sz="8" w:color="CCEEFF"/>
            </w:tcBorders>
          </w:tcPr>
          <w:p>
            <w:pPr>
              <w:spacing w:after="0"/>
              <w:rPr>
                <w:sz w:val="17"/>
                <w:szCs w:val="17"/>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118,967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611,588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(A)</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2,510,291</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(B)</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3,227,041</w:t>
            </w:r>
          </w:p>
        </w:tc>
      </w:tr>
      <w:tr>
        <w:trPr>
          <w:trHeight w:val="216"/>
        </w:trPr>
        <w:tc>
          <w:tcPr>
            <w:tcW w:w="3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(14,805) (A)</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 interests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14,805</w:t>
            </w:r>
          </w:p>
        </w:tc>
        <w:tc>
          <w:tcPr>
            <w:tcW w:w="5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32,144</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1,090,843</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(B)</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(99,000)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1,126,691</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246,691</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(B)</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313,946</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Equipment deposits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5,364</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r>
      <w:tr>
        <w:trPr>
          <w:trHeight w:val="23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(1,000) (A)</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451,395</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451,795</w:t>
            </w:r>
          </w:p>
        </w:tc>
      </w:tr>
      <w:tr>
        <w:trPr>
          <w:trHeight w:val="223"/>
        </w:trPr>
        <w:tc>
          <w:tcPr>
            <w:tcW w:w="3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2,134,839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3,547,825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6,882,520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3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MEZZANINE AND</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17,084</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15,647</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(6,702) (A)</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26,029</w:t>
            </w:r>
          </w:p>
        </w:tc>
      </w:tr>
      <w:tr>
        <w:trPr>
          <w:trHeight w:val="216"/>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13,190</w:t>
            </w:r>
          </w:p>
        </w:tc>
        <w:tc>
          <w:tcPr>
            <w:tcW w:w="5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(A)</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113,000</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147,995</w:t>
            </w:r>
          </w:p>
        </w:tc>
      </w:tr>
      <w:tr>
        <w:trPr>
          <w:trHeight w:val="216"/>
        </w:trPr>
        <w:tc>
          <w:tcPr>
            <w:tcW w:w="3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w:t>
            </w:r>
          </w:p>
        </w:tc>
        <w:tc>
          <w:tcPr>
            <w:tcW w:w="5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10,377</w:t>
            </w:r>
          </w:p>
        </w:tc>
      </w:tr>
      <w:tr>
        <w:trPr>
          <w:trHeight w:val="216"/>
        </w:trPr>
        <w:tc>
          <w:tcPr>
            <w:tcW w:w="3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Salaries and social charges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(6,488) (A)</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payable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3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(445) (A)</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Royalty agreement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11,443</w:t>
            </w:r>
          </w:p>
        </w:tc>
      </w:tr>
      <w:tr>
        <w:trPr>
          <w:trHeight w:val="216"/>
        </w:trPr>
        <w:tc>
          <w:tcPr>
            <w:tcW w:w="3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DFC Loan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2,232</w:t>
            </w:r>
          </w:p>
        </w:tc>
      </w:tr>
      <w:tr>
        <w:trPr>
          <w:trHeight w:val="216"/>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leases, current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1,219</w:t>
            </w:r>
          </w:p>
        </w:tc>
      </w:tr>
      <w:tr>
        <w:trPr>
          <w:trHeight w:val="237"/>
        </w:trPr>
        <w:tc>
          <w:tcPr>
            <w:tcW w:w="3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leases, current</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362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37,602</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Royalty agreement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149,881</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(B)</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215,415</w:t>
            </w: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DFC Loan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297,009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297,009</w:t>
            </w:r>
          </w:p>
        </w:tc>
      </w:tr>
    </w:tbl>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USAR</w:t>
            </w:r>
          </w:p>
        </w:tc>
        <w:tc>
          <w:tcPr>
            <w:tcW w:w="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SVRE</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Presentation</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Material</w:t>
            </w: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4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80" w:type="dxa"/>
            <w:vAlign w:val="bottom"/>
          </w:tcPr>
          <w:p>
            <w:pPr>
              <w:spacing w:after="0"/>
              <w:rPr>
                <w:sz w:val="21"/>
                <w:szCs w:val="21"/>
                <w:color w:val="auto"/>
              </w:rPr>
            </w:pPr>
          </w:p>
        </w:tc>
        <w:tc>
          <w:tcPr>
            <w:tcW w:w="1060" w:type="dxa"/>
            <w:vAlign w:val="bottom"/>
            <w:gridSpan w:val="3"/>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7"/>
              </w:rPr>
              <w:t>Transactions</w:t>
            </w:r>
          </w:p>
        </w:tc>
        <w:tc>
          <w:tcPr>
            <w:tcW w:w="3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6"/>
        </w:trPr>
        <w:tc>
          <w:tcPr>
            <w:tcW w:w="41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grant income</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8,414</w:t>
            </w:r>
          </w:p>
        </w:tc>
        <w:tc>
          <w:tcPr>
            <w:tcW w:w="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8,414</w:t>
            </w: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 non-current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 non-current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1,564</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1,564</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liability</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145,080</w:t>
            </w:r>
          </w:p>
        </w:tc>
        <w:tc>
          <w:tcPr>
            <w:tcW w:w="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(145,080) (D)</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26,491</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14,841</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(14,841) (B)</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26,491</w:t>
            </w:r>
          </w:p>
        </w:tc>
      </w:tr>
      <w:tr>
        <w:trPr>
          <w:trHeight w:val="25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16,179</w:t>
            </w:r>
          </w:p>
        </w:tc>
        <w:tc>
          <w:tcPr>
            <w:tcW w:w="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886,414</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902,593</w:t>
            </w:r>
          </w:p>
        </w:tc>
      </w:tr>
      <w:tr>
        <w:trPr>
          <w:trHeight w:val="236"/>
        </w:trPr>
        <w:tc>
          <w:tcPr>
            <w:tcW w:w="41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421,468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1,134,454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(145,080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 Series A Cumulative Convertible Preferred Stock</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9,614</w:t>
            </w:r>
          </w:p>
        </w:tc>
        <w:tc>
          <w:tcPr>
            <w:tcW w:w="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9,614</w:t>
            </w:r>
          </w:p>
        </w:tc>
      </w:tr>
      <w:tr>
        <w:trPr>
          <w:trHeight w:val="236"/>
        </w:trPr>
        <w:tc>
          <w:tcPr>
            <w:tcW w:w="41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mezzanine equity</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1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(D)</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(F)</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(18,126)</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18,126</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2,332,912</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615,756</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(615,756) (B)</w:t>
            </w:r>
          </w:p>
        </w:tc>
        <w:tc>
          <w:tcPr>
            <w:tcW w:w="120" w:type="dxa"/>
            <w:vAlign w:val="bottom"/>
          </w:tcPr>
          <w:p>
            <w:pPr>
              <w:spacing w:after="0"/>
              <w:rPr>
                <w:sz w:val="18"/>
                <w:szCs w:val="18"/>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215,826</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(D)</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5,853,479</w:t>
            </w:r>
          </w:p>
        </w:tc>
      </w:tr>
      <w:tr>
        <w:trPr>
          <w:trHeight w:val="216"/>
        </w:trPr>
        <w:tc>
          <w:tcPr>
            <w:tcW w:w="4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2,853,348</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451,393</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(F)</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(454,349)</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(270,637)</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270,637</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18"/>
                <w:szCs w:val="18"/>
                <w:color w:val="auto"/>
              </w:rPr>
            </w:pPr>
          </w:p>
        </w:tc>
        <w:tc>
          <w:tcPr>
            <w:tcW w:w="1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(70,747) (D)</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(638,096)</w:t>
            </w:r>
          </w:p>
        </w:tc>
      </w:tr>
      <w:tr>
        <w:trPr>
          <w:trHeight w:val="24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574</w:t>
            </w:r>
          </w:p>
        </w:tc>
        <w:tc>
          <w:tcPr>
            <w:tcW w:w="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r>
      <w:tr>
        <w:trPr>
          <w:trHeight w:val="210"/>
        </w:trPr>
        <w:tc>
          <w:tcPr>
            <w:tcW w:w="41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1,878,959</w:t>
            </w:r>
          </w:p>
        </w:tc>
        <w:tc>
          <w:tcPr>
            <w:tcW w:w="1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326,993</w:t>
            </w:r>
          </w:p>
        </w:tc>
        <w:tc>
          <w:tcPr>
            <w:tcW w:w="20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2,413,371</w:t>
            </w:r>
          </w:p>
        </w:tc>
        <w:tc>
          <w:tcPr>
            <w:tcW w:w="6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596,475</w:t>
            </w:r>
          </w:p>
        </w:tc>
        <w:tc>
          <w:tcPr>
            <w:tcW w:w="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5,215,798</w:t>
            </w:r>
          </w:p>
        </w:tc>
        <w:tc>
          <w:tcPr>
            <w:tcW w:w="100" w:type="dxa"/>
            <w:vAlign w:val="bottom"/>
            <w:tcBorders>
              <w:top w:val="single" w:sz="8" w:color="CCEEFF"/>
              <w:bottom w:val="single" w:sz="8" w:color="CCEEFF"/>
            </w:tcBorders>
          </w:tcPr>
          <w:p>
            <w:pPr>
              <w:spacing w:after="0"/>
              <w:rPr>
                <w:sz w:val="18"/>
                <w:szCs w:val="18"/>
                <w:color w:val="auto"/>
              </w:rPr>
            </w:pPr>
          </w:p>
        </w:tc>
      </w:tr>
      <w:tr>
        <w:trPr>
          <w:trHeight w:val="184"/>
        </w:trPr>
        <w:tc>
          <w:tcPr>
            <w:tcW w:w="41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Total liabilities, mezzanine equity, and stockholder’s</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5"/>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$ 2,134,839</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748,461</w:t>
            </w:r>
          </w:p>
        </w:tc>
        <w:tc>
          <w:tcPr>
            <w:tcW w:w="4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3,547,825</w:t>
            </w: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451,395</w:t>
            </w:r>
          </w:p>
        </w:tc>
        <w:tc>
          <w:tcPr>
            <w:tcW w:w="3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$ 6,882,520</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6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USAR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SVRE</w:t>
            </w:r>
          </w:p>
        </w:tc>
        <w:tc>
          <w:tcPr>
            <w:tcW w:w="6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Presentation</w:t>
            </w:r>
          </w:p>
        </w:tc>
        <w:tc>
          <w:tcPr>
            <w:tcW w:w="50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6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Material</w:t>
            </w:r>
          </w:p>
        </w:tc>
        <w:tc>
          <w:tcPr>
            <w:tcW w:w="14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45"/>
        </w:trPr>
        <w:tc>
          <w:tcPr>
            <w:tcW w:w="3320" w:type="dxa"/>
            <w:vAlign w:val="bottom"/>
          </w:tcPr>
          <w:p>
            <w:pPr>
              <w:spacing w:after="0"/>
              <w:rPr>
                <w:sz w:val="21"/>
                <w:szCs w:val="21"/>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500" w:type="dxa"/>
            <w:vAlign w:val="bottom"/>
          </w:tcPr>
          <w:p>
            <w:pPr>
              <w:spacing w:after="0"/>
              <w:rPr>
                <w:sz w:val="21"/>
                <w:szCs w:val="21"/>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Transactions</w:t>
            </w:r>
          </w:p>
        </w:tc>
        <w:tc>
          <w:tcPr>
            <w:tcW w:w="520" w:type="dxa"/>
            <w:vAlign w:val="bottom"/>
          </w:tcPr>
          <w:p>
            <w:pPr>
              <w:spacing w:after="0"/>
              <w:rPr>
                <w:sz w:val="21"/>
                <w:szCs w:val="21"/>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5,698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5,592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5,009</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10,601</w:t>
            </w:r>
          </w:p>
        </w:tc>
      </w:tr>
      <w:tr>
        <w:trPr>
          <w:trHeight w:val="216"/>
        </w:trPr>
        <w:tc>
          <w:tcPr>
            <w:tcW w:w="3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8,026</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(AA)</w:t>
            </w:r>
          </w:p>
        </w:tc>
        <w:tc>
          <w:tcPr>
            <w:tcW w:w="15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1,219 (DD)</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30,766</w:t>
            </w: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14,249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14,249</w:t>
            </w:r>
          </w:p>
        </w:tc>
      </w:tr>
      <w:tr>
        <w:trPr>
          <w:trHeight w:val="216"/>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1,357</w:t>
            </w:r>
          </w:p>
        </w:tc>
      </w:tr>
      <w:tr>
        <w:trPr>
          <w:trHeight w:val="237"/>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4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2,365</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w:t>
            </w:r>
          </w:p>
        </w:tc>
      </w:tr>
      <w:tr>
        <w:trPr>
          <w:trHeight w:val="236"/>
        </w:trPr>
        <w:tc>
          <w:tcPr>
            <w:tcW w:w="3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332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(36,675)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(14,812)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(1,219)</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(53,052)</w:t>
            </w:r>
          </w:p>
        </w:tc>
        <w:tc>
          <w:tcPr>
            <w:tcW w:w="100" w:type="dxa"/>
            <w:vAlign w:val="bottom"/>
          </w:tcPr>
          <w:p>
            <w:pPr>
              <w:spacing w:after="0"/>
              <w:rPr>
                <w:sz w:val="17"/>
                <w:szCs w:val="17"/>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11,970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12,145</w:t>
            </w:r>
          </w:p>
        </w:tc>
      </w:tr>
      <w:tr>
        <w:trPr>
          <w:trHeight w:val="198"/>
        </w:trPr>
        <w:tc>
          <w:tcPr>
            <w:tcW w:w="3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fair market value of financial</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instruments, net</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(43,553)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(6,216) (AA)</w:t>
            </w: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6,216</w:t>
            </w:r>
          </w:p>
        </w:tc>
        <w:tc>
          <w:tcPr>
            <w:tcW w:w="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(EE)</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(43,553)</w:t>
            </w: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and other loss, net</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(12,218)</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6,562</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(AA)</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2,276</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(FF)</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(6,547)</w:t>
            </w:r>
          </w:p>
        </w:tc>
      </w:tr>
      <w:tr>
        <w:trPr>
          <w:trHeight w:val="216"/>
        </w:trPr>
        <w:tc>
          <w:tcPr>
            <w:tcW w:w="3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(4,028) (GG)</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8"/>
        </w:trPr>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1,454</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(HH)</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Grant income</w:t>
      </w:r>
    </w:p>
    <w:p>
      <w:pPr>
        <w:spacing w:after="0" w:line="7" w:lineRule="exact"/>
        <w:rPr>
          <w:sz w:val="20"/>
          <w:szCs w:val="20"/>
          <w:color w:val="auto"/>
        </w:rPr>
      </w:pPr>
    </w:p>
    <w:p>
      <w:pPr>
        <w:ind w:left="340" w:right="940" w:hanging="161"/>
        <w:spacing w:after="0" w:line="278" w:lineRule="auto"/>
        <w:rPr>
          <w:sz w:val="20"/>
          <w:szCs w:val="20"/>
          <w:color w:val="auto"/>
        </w:rPr>
      </w:pPr>
      <w:r>
        <w:rPr>
          <w:rFonts w:ascii="Times New Roman" w:cs="Times New Roman" w:eastAsia="Times New Roman" w:hAnsi="Times New Roman"/>
          <w:sz w:val="18"/>
          <w:szCs w:val="18"/>
          <w:color w:val="auto"/>
        </w:rPr>
        <w:t>Foreign currency exchange, net Total other expense, net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from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Net loss attributable to non-controlling interest Net loss attributable to USA Rare Earth,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c>
          <w:tcPr>
            <w:tcW w:w="1340" w:type="dxa"/>
            <w:vAlign w:val="bottom"/>
            <w:gridSpan w:val="3"/>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15,800</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5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8"/>
        </w:trPr>
        <w:tc>
          <w:tcPr>
            <w:tcW w:w="20" w:type="dxa"/>
            <w:vAlign w:val="bottom"/>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(68,645)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(11,055)</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(1,219)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5,918</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(75,001)</w:t>
            </w:r>
          </w:p>
        </w:tc>
        <w:tc>
          <w:tcPr>
            <w:tcW w:w="60" w:type="dxa"/>
            <w:vAlign w:val="bottom"/>
          </w:tcPr>
          <w:p>
            <w:pPr>
              <w:spacing w:after="0"/>
              <w:rPr>
                <w:sz w:val="17"/>
                <w:szCs w:val="17"/>
                <w:color w:val="auto"/>
              </w:rPr>
            </w:pPr>
          </w:p>
        </w:tc>
      </w:tr>
      <w:tr>
        <w:trPr>
          <w:trHeight w:val="255"/>
        </w:trPr>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Pr>
          <w:p>
            <w:pPr>
              <w:spacing w:after="0"/>
              <w:rPr>
                <w:sz w:val="22"/>
                <w:szCs w:val="22"/>
                <w:color w:val="auto"/>
              </w:rPr>
            </w:pPr>
          </w:p>
        </w:tc>
        <w:tc>
          <w:tcPr>
            <w:tcW w:w="1340" w:type="dxa"/>
            <w:vAlign w:val="bottom"/>
            <w:gridSpan w:val="3"/>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198"/>
        </w:trPr>
        <w:tc>
          <w:tcPr>
            <w:tcW w:w="20" w:type="dxa"/>
            <w:vAlign w:val="bottom"/>
          </w:tcPr>
          <w:p>
            <w:pPr>
              <w:spacing w:after="0"/>
              <w:rPr>
                <w:sz w:val="17"/>
                <w:szCs w:val="17"/>
                <w:color w:val="auto"/>
              </w:rPr>
            </w:pPr>
          </w:p>
        </w:tc>
        <w:tc>
          <w:tcPr>
            <w:tcW w:w="7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(68,068)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(11,055)</w:t>
            </w: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(1,219)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5,918</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(74,424)</w:t>
            </w:r>
          </w:p>
        </w:tc>
        <w:tc>
          <w:tcPr>
            <w:tcW w:w="60" w:type="dxa"/>
            <w:vAlign w:val="bottom"/>
          </w:tcPr>
          <w:p>
            <w:pPr>
              <w:spacing w:after="0"/>
              <w:rPr>
                <w:sz w:val="17"/>
                <w:szCs w:val="17"/>
                <w:color w:val="auto"/>
              </w:rPr>
            </w:pPr>
          </w:p>
        </w:tc>
      </w:tr>
      <w:tr>
        <w:trPr>
          <w:trHeight w:val="255"/>
        </w:trPr>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Pr>
          <w:p>
            <w:pPr>
              <w:spacing w:after="0"/>
              <w:rPr>
                <w:sz w:val="22"/>
                <w:szCs w:val="22"/>
                <w:color w:val="auto"/>
              </w:rPr>
            </w:pPr>
          </w:p>
        </w:tc>
        <w:tc>
          <w:tcPr>
            <w:tcW w:w="1340" w:type="dxa"/>
            <w:vAlign w:val="bottom"/>
            <w:gridSpan w:val="3"/>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23"/>
        </w:trPr>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(66,989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(11,055</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(73,345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-942340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-642620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-342265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80" w:space="360"/>
            <w:col w:w="750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USA Rare Earth,</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3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shd w:val="clear" w:color="auto" w:fill="CCEEFF"/>
          </w:tcPr>
          <w:p>
            <w:pPr>
              <w:jc w:val="right"/>
              <w:ind w:right="2310"/>
              <w:spacing w:after="0"/>
              <w:rPr>
                <w:sz w:val="20"/>
                <w:szCs w:val="20"/>
                <w:color w:val="auto"/>
              </w:rPr>
            </w:pPr>
            <w:r>
              <w:rPr>
                <w:rFonts w:ascii="Times New Roman" w:cs="Times New Roman" w:eastAsia="Times New Roman" w:hAnsi="Times New Roman"/>
                <w:sz w:val="18"/>
                <w:szCs w:val="18"/>
                <w:color w:val="auto"/>
              </w:rPr>
              <w:t>(0.06)</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calculations: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4"/>
        </w:trPr>
        <w:tc>
          <w:tcPr>
            <w:tcW w:w="3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196,479</w:t>
            </w:r>
          </w:p>
        </w:tc>
        <w:tc>
          <w:tcPr>
            <w:tcW w:w="200" w:type="dxa"/>
            <w:vAlign w:val="bottom"/>
          </w:tcPr>
          <w:p>
            <w:pPr>
              <w:spacing w:after="0"/>
              <w:rPr>
                <w:sz w:val="20"/>
                <w:szCs w:val="20"/>
                <w:color w:val="auto"/>
              </w:rPr>
            </w:pPr>
          </w:p>
        </w:tc>
        <w:tc>
          <w:tcPr>
            <w:tcW w:w="308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193,429</w:t>
            </w:r>
          </w:p>
        </w:tc>
        <w:tc>
          <w:tcPr>
            <w:tcW w:w="25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349,561</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6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USAR</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SVRE</w:t>
            </w:r>
          </w:p>
        </w:tc>
        <w:tc>
          <w:tcPr>
            <w:tcW w:w="6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Presentation</w:t>
            </w:r>
          </w:p>
        </w:tc>
        <w:tc>
          <w:tcPr>
            <w:tcW w:w="50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6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Material</w:t>
            </w:r>
          </w:p>
        </w:tc>
        <w:tc>
          <w:tcPr>
            <w:tcW w:w="14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45"/>
        </w:trPr>
        <w:tc>
          <w:tcPr>
            <w:tcW w:w="3700" w:type="dxa"/>
            <w:vAlign w:val="bottom"/>
          </w:tcPr>
          <w:p>
            <w:pPr>
              <w:spacing w:after="0"/>
              <w:rPr>
                <w:sz w:val="21"/>
                <w:szCs w:val="21"/>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500" w:type="dxa"/>
            <w:vAlign w:val="bottom"/>
          </w:tcPr>
          <w:p>
            <w:pPr>
              <w:spacing w:after="0"/>
              <w:rPr>
                <w:sz w:val="21"/>
                <w:szCs w:val="21"/>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Transactions</w:t>
            </w:r>
          </w:p>
        </w:tc>
        <w:tc>
          <w:tcPr>
            <w:tcW w:w="520" w:type="dxa"/>
            <w:vAlign w:val="bottom"/>
          </w:tcPr>
          <w:p>
            <w:pPr>
              <w:spacing w:after="0"/>
              <w:rPr>
                <w:sz w:val="21"/>
                <w:szCs w:val="21"/>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6"/>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2,486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1,448</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36,105</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37,553</w:t>
            </w:r>
          </w:p>
        </w:tc>
      </w:tr>
      <w:tr>
        <w:trPr>
          <w:trHeight w:val="216"/>
        </w:trPr>
        <w:tc>
          <w:tcPr>
            <w:tcW w:w="3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43,135</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25,803</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(AA)</w:t>
            </w:r>
          </w:p>
        </w:tc>
        <w:tc>
          <w:tcPr>
            <w:tcW w:w="1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113,000 (CC)</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192,609</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10,393 (DD)</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15,885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15,885</w:t>
            </w:r>
          </w:p>
        </w:tc>
      </w:tr>
      <w:tr>
        <w:trPr>
          <w:trHeight w:val="216"/>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r>
      <w:tr>
        <w:trPr>
          <w:trHeight w:val="24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1,440</w:t>
            </w:r>
          </w:p>
        </w:tc>
        <w:tc>
          <w:tcPr>
            <w:tcW w:w="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r>
      <w:tr>
        <w:trPr>
          <w:trHeight w:val="210"/>
        </w:trPr>
        <w:tc>
          <w:tcPr>
            <w:tcW w:w="370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59,698</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27,243</w:t>
            </w:r>
          </w:p>
        </w:tc>
        <w:tc>
          <w:tcPr>
            <w:tcW w:w="14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w:t>
            </w:r>
          </w:p>
        </w:tc>
        <w:tc>
          <w:tcPr>
            <w:tcW w:w="8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123,393</w:t>
            </w:r>
          </w:p>
        </w:tc>
        <w:tc>
          <w:tcPr>
            <w:tcW w:w="5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ind w:left="8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210,612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(123,393)</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(244,036)</w:t>
            </w: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5,446</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2,671</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8,117</w:t>
            </w:r>
          </w:p>
        </w:tc>
      </w:tr>
      <w:tr>
        <w:trPr>
          <w:trHeight w:val="198"/>
        </w:trPr>
        <w:tc>
          <w:tcPr>
            <w:tcW w:w="37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fair market value of financial</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instruments, net</w:t>
            </w: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(244,488)</w:t>
            </w: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(7,652) (AA)</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7,652</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(EE)</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(244,488)</w:t>
            </w: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and other income (loss), net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(9,873)</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7,930</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(AA)</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4,268</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(FF)</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(23,320)</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(26,206) (GG)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(HH)</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ind w:left="340" w:right="940" w:hanging="161"/>
        <w:spacing w:after="0" w:line="278" w:lineRule="auto"/>
        <w:rPr>
          <w:sz w:val="20"/>
          <w:szCs w:val="20"/>
          <w:color w:val="auto"/>
        </w:rPr>
      </w:pPr>
      <w:r>
        <w:rPr>
          <w:rFonts w:ascii="Times New Roman" w:cs="Times New Roman" w:eastAsia="Times New Roman" w:hAnsi="Times New Roman"/>
          <w:sz w:val="18"/>
          <w:szCs w:val="18"/>
          <w:color w:val="auto"/>
        </w:rPr>
        <w:t>Foreign currency exchange, net Total other expense, net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from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Net loss attributable to non-controlling interest Net loss attributable to USA Rare Earth,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49,532</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49,532</w:t>
            </w:r>
          </w:p>
        </w:tc>
        <w:tc>
          <w:tcPr>
            <w:tcW w:w="60" w:type="dxa"/>
            <w:vAlign w:val="bottom"/>
          </w:tcPr>
          <w:p>
            <w:pPr>
              <w:spacing w:after="0"/>
              <w:rPr>
                <w:sz w:val="20"/>
                <w:szCs w:val="20"/>
                <w:color w:val="auto"/>
              </w:rPr>
            </w:pPr>
          </w:p>
        </w:tc>
      </w:tr>
      <w:tr>
        <w:trPr>
          <w:trHeight w:val="223"/>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42,330</w:t>
            </w: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5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(210,159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8"/>
        </w:trPr>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(298,684)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(18,532)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7"/>
                <w:szCs w:val="17"/>
                <w:color w:val="auto"/>
              </w:rPr>
            </w:pPr>
          </w:p>
        </w:tc>
        <w:tc>
          <w:tcPr>
            <w:tcW w:w="9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(123,393)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(13,586)</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(454,195)</w:t>
            </w:r>
          </w:p>
        </w:tc>
        <w:tc>
          <w:tcPr>
            <w:tcW w:w="60" w:type="dxa"/>
            <w:vAlign w:val="bottom"/>
          </w:tcPr>
          <w:p>
            <w:pPr>
              <w:spacing w:after="0"/>
              <w:rPr>
                <w:sz w:val="17"/>
                <w:szCs w:val="17"/>
                <w:color w:val="auto"/>
              </w:rPr>
            </w:pPr>
          </w:p>
        </w:tc>
      </w:tr>
      <w:tr>
        <w:trPr>
          <w:trHeight w:val="255"/>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2"/>
                <w:szCs w:val="22"/>
                <w:color w:val="auto"/>
              </w:rPr>
            </w:pPr>
          </w:p>
        </w:tc>
        <w:tc>
          <w:tcPr>
            <w:tcW w:w="1340" w:type="dxa"/>
            <w:vAlign w:val="bottom"/>
            <w:gridSpan w:val="3"/>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198"/>
        </w:trPr>
        <w:tc>
          <w:tcPr>
            <w:tcW w:w="8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(298,524)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(18,532)</w:t>
            </w: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7"/>
                <w:szCs w:val="17"/>
                <w:color w:val="auto"/>
              </w:rPr>
            </w:pPr>
          </w:p>
        </w:tc>
        <w:tc>
          <w:tcPr>
            <w:tcW w:w="9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(123,393)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(13,586)</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(454,035)</w:t>
            </w:r>
          </w:p>
        </w:tc>
        <w:tc>
          <w:tcPr>
            <w:tcW w:w="60" w:type="dxa"/>
            <w:vAlign w:val="bottom"/>
          </w:tcPr>
          <w:p>
            <w:pPr>
              <w:spacing w:after="0"/>
              <w:rPr>
                <w:sz w:val="17"/>
                <w:szCs w:val="17"/>
                <w:color w:val="auto"/>
              </w:rPr>
            </w:pPr>
          </w:p>
        </w:tc>
      </w:tr>
      <w:tr>
        <w:trPr>
          <w:trHeight w:val="255"/>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tcPr>
          <w:p>
            <w:pPr>
              <w:spacing w:after="0"/>
              <w:rPr>
                <w:sz w:val="22"/>
                <w:szCs w:val="22"/>
                <w:color w:val="auto"/>
              </w:rPr>
            </w:pPr>
          </w:p>
        </w:tc>
        <w:tc>
          <w:tcPr>
            <w:tcW w:w="1340" w:type="dxa"/>
            <w:vAlign w:val="bottom"/>
            <w:gridSpan w:val="3"/>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23"/>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(297,559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(18,532</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(123,393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(453,070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-942340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-642620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-342265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80" w:space="320"/>
            <w:col w:w="754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USA Rare Earth,</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3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shd w:val="clear" w:color="auto" w:fill="CCEEFF"/>
          </w:tcPr>
          <w:p>
            <w:pPr>
              <w:jc w:val="right"/>
              <w:ind w:right="2310"/>
              <w:spacing w:after="0"/>
              <w:rPr>
                <w:sz w:val="20"/>
                <w:szCs w:val="20"/>
                <w:color w:val="auto"/>
              </w:rPr>
            </w:pPr>
            <w:r>
              <w:rPr>
                <w:rFonts w:ascii="Times New Roman" w:cs="Times New Roman" w:eastAsia="Times New Roman" w:hAnsi="Times New Roman"/>
                <w:sz w:val="18"/>
                <w:szCs w:val="18"/>
                <w:color w:val="auto"/>
              </w:rPr>
              <w:t>(0.10)</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calculations: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4"/>
        </w:trPr>
        <w:tc>
          <w:tcPr>
            <w:tcW w:w="3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98,021</w:t>
            </w:r>
          </w:p>
        </w:tc>
        <w:tc>
          <w:tcPr>
            <w:tcW w:w="200" w:type="dxa"/>
            <w:vAlign w:val="bottom"/>
          </w:tcPr>
          <w:p>
            <w:pPr>
              <w:spacing w:after="0"/>
              <w:rPr>
                <w:sz w:val="20"/>
                <w:szCs w:val="20"/>
                <w:color w:val="auto"/>
              </w:rPr>
            </w:pPr>
          </w:p>
        </w:tc>
        <w:tc>
          <w:tcPr>
            <w:tcW w:w="308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193,429</w:t>
            </w:r>
          </w:p>
        </w:tc>
        <w:tc>
          <w:tcPr>
            <w:tcW w:w="25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310,771</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3" w:name="page14"/>
    <w:bookmarkEnd w:id="13"/>
    <w:p>
      <w:pPr>
        <w:ind w:left="170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pro forma adjustments have been prepared as if the Pro Forma Transactions had been consummated on March 31, 2026, in the case of the unaudited pro forma condensed combined balance sheet, and, in the case of the unaudited pro forma condensed combined statements of operations, as if the Pro Forma Transactions had been consummated on January 1, 2025, the beginning of the earliest period presented in the unaudited pro forma condensed combined statements of operations.</w:t>
      </w:r>
    </w:p>
    <w:p>
      <w:pPr>
        <w:spacing w:after="0" w:line="180"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the acquisition method of accounting in accordance with U.S. GAAP. Under this method, SVRE’s assets and liabilities will be recorded at their respective fair values. Any difference between the purchase price for SVRE and the fair value of the identifiable net assets acquired (including intangibles) will be recorded as goodwill. The assets and liabilities of SVRE have been measured based on various preliminary estimates using assumptions that USAR’s management believes are reasonable and based on currently available information. Accordingly, the pro forma adjustments are preliminary and have been made solely for the purpose of providing this unaudited pro forma condensed combined financial information.</w:t>
      </w:r>
    </w:p>
    <w:p>
      <w:pPr>
        <w:spacing w:after="0" w:line="187"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represent management’s estimates based on information available as of June 12, 2026 and are subject to change as additional information becomes available and additional analyses are performed.</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USAR has performed a preliminary review to identify any accounting policy differences between the accounting policies used in SVRE’s financial statements and those of the Company, where the impact was potentially material and could be reasonably estimated, with the Company identifying no such differences.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Adjustments to the Unaudited Pro Forma Condensed Combined Balance Sheet as of March 31, 2026</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adjustments included in the unaudited pro forma condensed combined balance sheet as of March 31, 2026 are as follows:</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reclassification adjustments to conform SVRE’s historical balances to the financial statement presentation of USAR.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purchase price allocation adjustments to record SVRE’s identifiable assets acquired and liabilities assumed at their estimated fair values as of the acquisition date. The related statement of operations adjustments are reflected at adjustment (BB). This adjustment reflects the recording of the preliminary estimate of goodwill and the elimination of the historical equity balances of SVRE. Additionally, the adjustment removes SVRE’s outstanding warrant liability, to reflect the conversion of all warrants into SVRE’s ordinary shares immediately prior to the Merger.</w:t>
      </w:r>
    </w:p>
    <w:p>
      <w:pPr>
        <w:spacing w:after="0" w:line="183" w:lineRule="exact"/>
        <w:rPr>
          <w:rFonts w:ascii="Times New Roman" w:cs="Times New Roman" w:eastAsia="Times New Roman" w:hAnsi="Times New Roman"/>
          <w:sz w:val="18"/>
          <w:szCs w:val="18"/>
          <w:color w:val="auto"/>
        </w:rPr>
      </w:pPr>
    </w:p>
    <w:p>
      <w:pPr>
        <w:ind w:left="6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ASC 805, the preliminary purchase price was allocated among the identified net assets to be acquired, based on a preliminary analysis. Goodwill is expected to be recognized as a result of the Merger, which represents the excess fair value of consideration over the fair value of the underlying net assets of SVRE. The deferred income taxes represent the deferred tax impact associated with the incremental differences in book and tax basis created from the preliminary purchase price allocation. Deferred taxes associated with estimated fair value adjustments were calculated using the statutory corporate tax rate in Brazil of 34%. The estimates of fair value are based upon preliminary valuation assumptions, and are believed to be reasonable, but are inherently uncertain and unpredictable. As a result, actual results may differ from estimates, and the difference may be material.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880" w:right="20"/>
        <w:spacing w:after="0" w:line="282" w:lineRule="auto"/>
        <w:rPr>
          <w:sz w:val="20"/>
          <w:szCs w:val="20"/>
          <w:color w:val="auto"/>
        </w:rPr>
      </w:pPr>
      <w:r>
        <w:rPr>
          <w:rFonts w:ascii="Times New Roman" w:cs="Times New Roman" w:eastAsia="Times New Roman" w:hAnsi="Times New Roman"/>
          <w:sz w:val="18"/>
          <w:szCs w:val="18"/>
          <w:color w:val="auto"/>
        </w:rPr>
        <w:t>The following is a preliminary estimate of fair value of the assets acquired and the liabilities assumed by USAR in the Merger, reconciled to the estimated purchase consideration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Preliminary</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Estimate of</w:t>
            </w:r>
          </w:p>
        </w:tc>
        <w:tc>
          <w:tcPr>
            <w:tcW w:w="0" w:type="dxa"/>
            <w:vAlign w:val="bottom"/>
          </w:tcPr>
          <w:p>
            <w:pPr>
              <w:spacing w:after="0"/>
              <w:rPr>
                <w:sz w:val="1"/>
                <w:szCs w:val="1"/>
                <w:color w:val="auto"/>
              </w:rPr>
            </w:pPr>
          </w:p>
        </w:tc>
      </w:tr>
      <w:tr>
        <w:trPr>
          <w:trHeight w:val="245"/>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Assets Identified</w:t>
            </w:r>
          </w:p>
        </w:tc>
        <w:tc>
          <w:tcPr>
            <w:tcW w:w="100" w:type="dxa"/>
            <w:vAlign w:val="bottom"/>
          </w:tcPr>
          <w:p>
            <w:pPr>
              <w:spacing w:after="0"/>
              <w:rPr>
                <w:sz w:val="21"/>
                <w:szCs w:val="21"/>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990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21,231</w:t>
            </w:r>
          </w:p>
        </w:tc>
        <w:tc>
          <w:tcPr>
            <w:tcW w:w="0" w:type="dxa"/>
            <w:vAlign w:val="bottom"/>
          </w:tcPr>
          <w:p>
            <w:pPr>
              <w:spacing w:after="0"/>
              <w:rPr>
                <w:sz w:val="1"/>
                <w:szCs w:val="1"/>
                <w:color w:val="auto"/>
              </w:rPr>
            </w:pPr>
          </w:p>
        </w:tc>
      </w:tr>
      <w:tr>
        <w:trPr>
          <w:trHeight w:val="216"/>
        </w:trPr>
        <w:tc>
          <w:tcPr>
            <w:tcW w:w="10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02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Property, plant and equipment, net (incl. mineral interests)</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3,122,879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02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intangible assets, net</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246,691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10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(8,945)</w:t>
            </w: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(13,635)</w:t>
            </w:r>
          </w:p>
        </w:tc>
        <w:tc>
          <w:tcPr>
            <w:tcW w:w="0" w:type="dxa"/>
            <w:vAlign w:val="bottom"/>
          </w:tcPr>
          <w:p>
            <w:pPr>
              <w:spacing w:after="0"/>
              <w:rPr>
                <w:sz w:val="1"/>
                <w:szCs w:val="1"/>
                <w:color w:val="auto"/>
              </w:rPr>
            </w:pPr>
          </w:p>
        </w:tc>
      </w:tr>
      <w:tr>
        <w:trPr>
          <w:trHeight w:val="216"/>
        </w:trPr>
        <w:tc>
          <w:tcPr>
            <w:tcW w:w="10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Tax payable</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57"/>
        </w:trPr>
        <w:tc>
          <w:tcPr>
            <w:tcW w:w="1002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Royalty agreement – current</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(11,443)</w:t>
            </w:r>
          </w:p>
        </w:tc>
        <w:tc>
          <w:tcPr>
            <w:tcW w:w="0" w:type="dxa"/>
            <w:vAlign w:val="bottom"/>
          </w:tcPr>
          <w:p>
            <w:pPr>
              <w:spacing w:after="0"/>
              <w:rPr>
                <w:sz w:val="1"/>
                <w:szCs w:val="1"/>
                <w:color w:val="auto"/>
              </w:rPr>
            </w:pPr>
          </w:p>
        </w:tc>
      </w:tr>
      <w:tr>
        <w:trPr>
          <w:trHeight w:val="216"/>
        </w:trPr>
        <w:tc>
          <w:tcPr>
            <w:tcW w:w="10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DFC loan, current</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current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56"/>
        </w:trPr>
        <w:tc>
          <w:tcPr>
            <w:tcW w:w="1002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Royalty agreement – noncurrent</w:t>
            </w:r>
            <w:r>
              <w:rPr>
                <w:rFonts w:ascii="Times New Roman" w:cs="Times New Roman" w:eastAsia="Times New Roman" w:hAnsi="Times New Roman"/>
                <w:sz w:val="29"/>
                <w:szCs w:val="29"/>
                <w:color w:val="auto"/>
                <w:vertAlign w:val="superscript"/>
              </w:rPr>
              <w:t>(3)</w:t>
            </w:r>
          </w:p>
        </w:tc>
        <w:tc>
          <w:tcPr>
            <w:tcW w:w="100" w:type="dxa"/>
            <w:vAlign w:val="bottom"/>
          </w:tcPr>
          <w:p>
            <w:pPr>
              <w:spacing w:after="0"/>
              <w:rPr>
                <w:sz w:val="22"/>
                <w:szCs w:val="22"/>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(215,415)</w:t>
            </w: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DFC loan, noncurrent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(297,009)</w:t>
            </w:r>
          </w:p>
        </w:tc>
        <w:tc>
          <w:tcPr>
            <w:tcW w:w="0" w:type="dxa"/>
            <w:vAlign w:val="bottom"/>
          </w:tcPr>
          <w:p>
            <w:pPr>
              <w:spacing w:after="0"/>
              <w:rPr>
                <w:sz w:val="1"/>
                <w:szCs w:val="1"/>
                <w:color w:val="auto"/>
              </w:rPr>
            </w:pPr>
          </w:p>
        </w:tc>
      </w:tr>
      <w:tr>
        <w:trPr>
          <w:trHeight w:val="216"/>
        </w:trPr>
        <w:tc>
          <w:tcPr>
            <w:tcW w:w="10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(4,738)</w:t>
            </w: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 non-current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10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50"/>
        </w:trPr>
        <w:tc>
          <w:tcPr>
            <w:tcW w:w="10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(886,414)</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net assets identified</w:t>
            </w:r>
          </w:p>
        </w:tc>
        <w:tc>
          <w:tcPr>
            <w:tcW w:w="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2,161,521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991,843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3,153,364</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Value Conveyed</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00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900" w:type="dxa"/>
            <w:vAlign w:val="bottom"/>
            <w:tcBorders>
              <w:top w:val="single" w:sz="8" w:color="auto"/>
            </w:tcBorders>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9"/>
                <w:szCs w:val="29"/>
                <w:color w:val="auto"/>
                <w:vertAlign w:val="superscript"/>
              </w:rPr>
              <w:t>(4)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2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Equity consideration</w:t>
            </w:r>
            <w:r>
              <w:rPr>
                <w:rFonts w:ascii="Times New Roman" w:cs="Times New Roman" w:eastAsia="Times New Roman" w:hAnsi="Times New Roman"/>
                <w:sz w:val="29"/>
                <w:szCs w:val="29"/>
                <w:color w:val="auto"/>
                <w:vertAlign w:val="superscript"/>
              </w:rPr>
              <w:t>(5)</w:t>
            </w: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2,850,304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0020" w:type="dxa"/>
            <w:vAlign w:val="bottom"/>
            <w:gridSpan w:val="3"/>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Pre-combination expense for vested performance stock options</w:t>
            </w:r>
            <w:r>
              <w:rPr>
                <w:rFonts w:ascii="Times New Roman" w:cs="Times New Roman" w:eastAsia="Times New Roman" w:hAnsi="Times New Roman"/>
                <w:sz w:val="29"/>
                <w:szCs w:val="29"/>
                <w:color w:val="auto"/>
                <w:vertAlign w:val="superscript"/>
              </w:rPr>
              <w:t>(6)</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3,060</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3,153,364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820" w:type="dxa"/>
            <w:vAlign w:val="bottom"/>
            <w:tcBorders>
              <w:bottom w:val="single" w:sz="8" w:color="auto"/>
            </w:tcBorders>
          </w:tcPr>
          <w:p>
            <w:pPr>
              <w:spacing w:after="0"/>
              <w:rPr>
                <w:sz w:val="19"/>
                <w:szCs w:val="19"/>
                <w:color w:val="auto"/>
              </w:rPr>
            </w:pPr>
          </w:p>
        </w:tc>
        <w:tc>
          <w:tcPr>
            <w:tcW w:w="7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right="20" w:hanging="332"/>
        <w:spacing w:after="0" w:line="254"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$3.1 billion allocated to property, plant and equipment, net, is related to development stage properties. Upon the closing of the Merger, the mine will continue to be designated as a development stage property, and related development costs will continue to be capitalized until the milestones necessary to be considered operational are achieved. An expansion and optimization project is currently being implemented that is expected to result in higher production capacity, a sustained lower operating cost profile and enhanced product quality. Construction is expected to be completed, and commercial operations are expected to commence in 2027.</w:t>
      </w:r>
    </w:p>
    <w:p>
      <w:pPr>
        <w:spacing w:after="0" w:line="3" w:lineRule="exact"/>
        <w:rPr>
          <w:rFonts w:ascii="Times New Roman" w:cs="Times New Roman" w:eastAsia="Times New Roman" w:hAnsi="Times New Roman"/>
          <w:sz w:val="18"/>
          <w:szCs w:val="18"/>
          <w:color w:val="auto"/>
        </w:rPr>
      </w:pPr>
    </w:p>
    <w:p>
      <w:pPr>
        <w:ind w:left="340" w:right="18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intangible assets is comprised of an Offtake Agreement. The Offtake Agreement asset is expected to be amortized on a systematic basic using the units of production method. As of the date of the Form 8-K in which these pro forma financial statements are included, delivery pursuant to the Offtake Agreement has not started. Accordingly, amortization of the Offtake Agreement had not commenced as of the pro forma transaction date and no related amortization expense has been reflected in the unaudited pro forma condensed combined statement of operations.</w:t>
      </w:r>
    </w:p>
    <w:p>
      <w:pPr>
        <w:spacing w:after="0" w:line="1" w:lineRule="exact"/>
        <w:rPr>
          <w:rFonts w:ascii="Times New Roman" w:cs="Times New Roman" w:eastAsia="Times New Roman" w:hAnsi="Times New Roman"/>
          <w:sz w:val="18"/>
          <w:szCs w:val="18"/>
          <w:color w:val="auto"/>
        </w:rPr>
      </w:pPr>
    </w:p>
    <w:p>
      <w:pPr>
        <w:ind w:left="340" w:right="36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reflects an increase in the fair value of the liability for royalty payments due to an increase in estimated future cash payments. The increase in estimated future cash payments is primarily related to the anticipated impact of the Offtake Agreement.</w:t>
      </w: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cash consideration paid to SVRE’s shareholders.</w:t>
      </w:r>
    </w:p>
    <w:p>
      <w:pPr>
        <w:spacing w:after="0" w:line="9" w:lineRule="exact"/>
        <w:rPr>
          <w:rFonts w:ascii="Times New Roman" w:cs="Times New Roman" w:eastAsia="Times New Roman" w:hAnsi="Times New Roman"/>
          <w:sz w:val="18"/>
          <w:szCs w:val="18"/>
          <w:color w:val="auto"/>
        </w:rPr>
      </w:pPr>
    </w:p>
    <w:p>
      <w:pPr>
        <w:ind w:left="340" w:right="460" w:hanging="332"/>
        <w:spacing w:after="0" w:line="26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consideration is provided in the form of Common Stock of USAR and is calculated as 126,849,307 shares of USAR Common Stock to be issued to SVRE shareholders, multiplied by $22.47, the closing share price of USAR on June 5, 2026.</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 of changes in USAR’s share price and the resulting impact on the estimated purchase consideration, and estimated goodwill: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Goodwill</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 in Share Price of USAR</w:t>
            </w:r>
          </w:p>
        </w:tc>
        <w:tc>
          <w:tcPr>
            <w:tcW w:w="220" w:type="dxa"/>
            <w:vAlign w:val="bottom"/>
          </w:tcPr>
          <w:p>
            <w:pPr>
              <w:spacing w:after="0"/>
              <w:rPr>
                <w:sz w:val="21"/>
                <w:szCs w:val="21"/>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25%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7"/>
              </w:rPr>
              <w:t>3,865,939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1,704,419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of 25%</w:t>
            </w: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2,440,787</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279,267</w:t>
            </w:r>
          </w:p>
        </w:tc>
      </w:tr>
    </w:tbl>
    <w:p>
      <w:pPr>
        <w:spacing w:after="0" w:line="179" w:lineRule="exact"/>
        <w:rPr>
          <w:sz w:val="20"/>
          <w:szCs w:val="20"/>
          <w:color w:val="auto"/>
        </w:rPr>
      </w:pPr>
    </w:p>
    <w:p>
      <w:pPr>
        <w:ind w:left="340" w:right="110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reflects the pre-combination expense pertaining to options to purchase SVRE shares subject to performance-vesting conditions (the “Performance-Vesting Options”) which will be substituted with USAR time-vesting restricted stock units.</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of nonrecurring expenses related to estimated transaction costs, primarily comprised of investment banking fees, legal fees, issuance costs, accounting and audit fees, and other related advisory costs. No amount was incurred and accrued on the balance sheet as of March 31, 2026. The related income statement adjustment is reflected at adjustment (CC).</w:t>
      </w:r>
    </w:p>
    <w:p>
      <w:pPr>
        <w:spacing w:after="0" w:line="175" w:lineRule="exact"/>
        <w:rPr>
          <w:rFonts w:ascii="Times New Roman" w:cs="Times New Roman" w:eastAsia="Times New Roman" w:hAnsi="Times New Roman"/>
          <w:sz w:val="18"/>
          <w:szCs w:val="18"/>
          <w:color w:val="auto"/>
        </w:rPr>
      </w:pPr>
    </w:p>
    <w:p>
      <w:pPr>
        <w:jc w:val="both"/>
        <w:ind w:left="660" w:right="360" w:hanging="328"/>
        <w:spacing w:after="0" w:line="261"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USAR’s common stock in an amount of $216 million upon conversion of earnout liabilities of $145 million. The $71 million increase in fair value of the earnout liability between March 31, 2026 and the conversion dates will be recorded as loss on fair market value of financial instruments, net in the Company’s unaudited condensed statement of operations for the three and six months ended June 30, 2026.</w:t>
      </w:r>
    </w:p>
    <w:p>
      <w:pPr>
        <w:spacing w:after="0" w:line="179" w:lineRule="exact"/>
        <w:rPr>
          <w:rFonts w:ascii="Times New Roman" w:cs="Times New Roman" w:eastAsia="Times New Roman" w:hAnsi="Times New Roman"/>
          <w:sz w:val="18"/>
          <w:szCs w:val="18"/>
          <w:color w:val="auto"/>
        </w:rPr>
      </w:pPr>
    </w:p>
    <w:p>
      <w:pPr>
        <w:ind w:left="660" w:right="120" w:hanging="328"/>
        <w:spacing w:after="0" w:line="254"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the issuance of the Incremental Loan pursuant to the Retained Finance Agreement in an amount of $100 million, net of estimated debt issuance costs of $1 million; ii) the reduction to goodwill due to the increase of the SVRE’s net assets of $99 million. The warrant liability upon the issuance of the DFC Warrants will be eliminated upon the closing of the Merger, at which point the DFC Warrants will be exercised. The Incremental Loan will be deemed to be extinguished upon the exercise of the DFC Warrants, pursuant to which the outstanding principal amount of the Incremental Loan shall be deemed repaid in full, and unpaid accrued interest will be settled in cash. The amount of the interest accrual will be determined upon the closing of the Merger. As both the DFC Warrant and the Incremental Loan are assumed to be exercised and extinguished, respectively, upon the closing of the Merger, no adjustment has been reflected in the unaudited pro forma condensed combined statement of operations. The recognition of the Incremental Loan and DFC Warrant liability will be recorded in SVRE’s unaudited condensed financial statements as of and for the six months ended June 30, 2026.</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9" w:lineRule="auto"/>
        <w:tabs>
          <w:tab w:leader="none" w:pos="66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issuance of 16,132,790 shares of USAR common stock, with a fair value of approximately $451 million to the DOC pursuant to the Securities Issuance Agreement dated June 3, 2026, as a condition precedent to the Direct Funding Agreement under the CHIPS Act. The corresponding deferred financing cost will commence amortization upon the initial drawdown of proceeds under the Direct Funding Agreement.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right="220" w:firstLine="8"/>
        <w:spacing w:after="0" w:line="286" w:lineRule="auto"/>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the Unaudited Pro Forma Condensed Combined Statement of Operations for the three months ended March 31, 2026 and for the year ended December 31, 2025</w:t>
      </w:r>
    </w:p>
    <w:p>
      <w:pPr>
        <w:spacing w:after="0" w:line="15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adjustments included in the unaudited pro forma condensed combined statement of operations for the three months ended March 31, 2026 and for the year ended December 31, 2025 are as follows:</w:t>
      </w:r>
    </w:p>
    <w:p>
      <w:pPr>
        <w:spacing w:after="0" w:line="162" w:lineRule="exact"/>
        <w:rPr>
          <w:sz w:val="20"/>
          <w:szCs w:val="20"/>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reclassification adjustment to conform SVRE’s historical expenses to the financial statement presentation of USAR.</w:t>
      </w:r>
    </w:p>
    <w:p>
      <w:pPr>
        <w:spacing w:after="0" w:line="225" w:lineRule="exact"/>
        <w:rPr>
          <w:sz w:val="20"/>
          <w:szCs w:val="20"/>
          <w:color w:val="auto"/>
        </w:rPr>
      </w:pPr>
    </w:p>
    <w:p>
      <w:pPr>
        <w:ind w:left="980" w:right="280" w:hanging="648"/>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nonrecurring expenses related to estimated transaction costs in the amount of $113 million, which are primarily comprised of investment banking fees, legal fees, issuance costs, accounting and audit fees, and other related advisory costs. The related balance sheet adjustment is reflected at adjustment (C).</w:t>
      </w:r>
    </w:p>
    <w:p>
      <w:pPr>
        <w:spacing w:after="0" w:line="175"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post-combination stock-based compensation expense in the amount of $1.2 million for the three months ended March 31, 2026 and $10.4 million for the year ended December 31, 2025 related to Performance-Vesting Options which will be substituted with USAR time-vesting restricted stock units.</w:t>
      </w:r>
    </w:p>
    <w:p>
      <w:pPr>
        <w:spacing w:after="0" w:line="175" w:lineRule="exact"/>
        <w:rPr>
          <w:rFonts w:ascii="Times New Roman" w:cs="Times New Roman" w:eastAsia="Times New Roman" w:hAnsi="Times New Roman"/>
          <w:sz w:val="18"/>
          <w:szCs w:val="18"/>
          <w:color w:val="auto"/>
        </w:rPr>
      </w:pPr>
    </w:p>
    <w:p>
      <w:pPr>
        <w:ind w:left="980" w:right="160" w:hanging="648"/>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the recognized loss due to the change in fair value of warrant liability in an amount equal to $6.2 million for the three months ended March 31, 2026 and $7.7 million for the year ended December 31, 2025 related to the private placement warrants issued by SVRE to its investors. These warrants will be settled through equity consideration to the holders pursuant to the Merger. The related balance sheet adjustment is reflected in adjustment (B).</w:t>
      </w:r>
    </w:p>
    <w:p>
      <w:pPr>
        <w:spacing w:after="0" w:line="179" w:lineRule="exact"/>
        <w:rPr>
          <w:rFonts w:ascii="Times New Roman" w:cs="Times New Roman" w:eastAsia="Times New Roman" w:hAnsi="Times New Roman"/>
          <w:sz w:val="18"/>
          <w:szCs w:val="18"/>
          <w:color w:val="auto"/>
        </w:rPr>
      </w:pPr>
    </w:p>
    <w:p>
      <w:pPr>
        <w:ind w:left="980" w:right="40" w:hanging="648"/>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related to Class A Preferred Shares in an amount equal to $2.3 million for the three months ended March 31, 2026 and $4.3 million for the year ended December 31, 2025 due to their redemption pursuant to the side letter agreement, dated March 5, 2026, between SVRE and Orion.</w:t>
      </w:r>
    </w:p>
    <w:p>
      <w:pPr>
        <w:spacing w:after="0" w:line="175" w:lineRule="exact"/>
        <w:rPr>
          <w:rFonts w:ascii="Times New Roman" w:cs="Times New Roman" w:eastAsia="Times New Roman" w:hAnsi="Times New Roman"/>
          <w:sz w:val="18"/>
          <w:szCs w:val="18"/>
          <w:color w:val="auto"/>
        </w:rPr>
      </w:pPr>
    </w:p>
    <w:p>
      <w:pPr>
        <w:ind w:left="980" w:right="240" w:hanging="648"/>
        <w:spacing w:after="0" w:line="258"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interest expense related to long-term debt financing of SVRE pursuant to the Retained Finance Agreement, calculated using an estimated interest rate of Term SOFR plus 4%. This adjustment also includes the amortization of estimated debt discount and debt issuance costs of $0.5 million for the three months ended March 31, 2026 and $1.9 million for the year ended December 31, 2025. An increase or decrease of one-eighth of a percent in the interest rate would not result in a significant change in interest expense for the three months ended March 31, 2026 and for the year ended December 31, 2025.</w:t>
      </w:r>
    </w:p>
    <w:p>
      <w:pPr>
        <w:spacing w:after="0" w:line="183"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related to the OMF Credit Agreement in an amount equal to $1.5 million for the three months ended March 31, 2026 and $0.7 million for the year ended December 31, 2025 due to their repayment.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4. Unaudited Pro Forma Net Loss Per Share</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pro forma net loss per share calculations have been performed for the three months ended March 31, 2026 and for the year ended December 31, 2025, assuming the Pro Forma Transactions had been consummated on January 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80" w:type="dxa"/>
            <w:vAlign w:val="bottom"/>
          </w:tcPr>
          <w:p>
            <w:pPr>
              <w:spacing w:after="0"/>
              <w:rPr>
                <w:sz w:val="18"/>
                <w:szCs w:val="18"/>
                <w:color w:val="auto"/>
              </w:rPr>
            </w:pPr>
          </w:p>
        </w:tc>
        <w:tc>
          <w:tcPr>
            <w:tcW w:w="10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28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28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attributable to USA Rare Earth, Inc.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(73,345)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(453,070)</w:t>
            </w:r>
          </w:p>
        </w:tc>
      </w:tr>
      <w:tr>
        <w:trPr>
          <w:trHeight w:val="23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Declared and deemed dividends, and interest accretion</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(709)</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(26,594)</w:t>
            </w:r>
          </w:p>
        </w:tc>
      </w:tr>
      <w:tr>
        <w:trPr>
          <w:trHeight w:val="223"/>
        </w:trPr>
        <w:tc>
          <w:tcPr>
            <w:tcW w:w="86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undistributed net loss attributable to USA Rare Earth, Inc.</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(479,664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28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8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USAR weighted average number of common shares outstanding-basic</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196,479</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98,021</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Shares issued to SVRE shareholders in a Merger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126,849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126,849</w:t>
            </w:r>
          </w:p>
        </w:tc>
      </w:tr>
      <w:tr>
        <w:trPr>
          <w:trHeight w:val="257"/>
        </w:trPr>
        <w:tc>
          <w:tcPr>
            <w:tcW w:w="868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Add: Shares issued in a private placement</w:t>
            </w:r>
            <w:r>
              <w:rPr>
                <w:rFonts w:ascii="Times New Roman" w:cs="Times New Roman" w:eastAsia="Times New Roman" w:hAnsi="Times New Roman"/>
                <w:sz w:val="29"/>
                <w:szCs w:val="29"/>
                <w:color w:val="auto"/>
                <w:vertAlign w:val="superscript"/>
              </w:rPr>
              <w:t>(*)</w:t>
            </w:r>
          </w:p>
        </w:tc>
        <w:tc>
          <w:tcPr>
            <w:tcW w:w="120" w:type="dxa"/>
            <w:vAlign w:val="bottom"/>
          </w:tcPr>
          <w:p>
            <w:pPr>
              <w:spacing w:after="0"/>
              <w:rPr>
                <w:sz w:val="22"/>
                <w:szCs w:val="22"/>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69,767</w:t>
            </w:r>
          </w:p>
        </w:tc>
      </w:tr>
      <w:tr>
        <w:trPr>
          <w:trHeight w:val="25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Shares issued for earnout payments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10,100</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Add: Shares issued to DOC</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16,133</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16,133</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of common stock outstanding – basic &amp; diluted</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349,561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8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loss per share – basic &amp; diluted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
        </w:trPr>
        <w:tc>
          <w:tcPr>
            <w:tcW w:w="282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23"/>
        </w:trPr>
        <w:tc>
          <w:tcPr>
            <w:tcW w:w="2820" w:type="dxa"/>
            <w:vAlign w:val="bottom"/>
            <w:tcBorders>
              <w:bottom w:val="single" w:sz="8" w:color="auto"/>
            </w:tcBorders>
          </w:tcPr>
          <w:p>
            <w:pPr>
              <w:spacing w:after="0"/>
              <w:rPr>
                <w:sz w:val="19"/>
                <w:szCs w:val="19"/>
                <w:color w:val="auto"/>
              </w:rPr>
            </w:pPr>
          </w:p>
        </w:tc>
        <w:tc>
          <w:tcPr>
            <w:tcW w:w="5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11" w:lineRule="exact"/>
        <w:rPr>
          <w:sz w:val="20"/>
          <w:szCs w:val="20"/>
          <w:color w:val="auto"/>
        </w:rPr>
      </w:pPr>
    </w:p>
    <w:p>
      <w:pPr>
        <w:ind w:left="340" w:right="5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issued in a private placement for the three months ended March 31, 2026 are already reflected in the historical unaudited condensed consolidated financial statements of USAR and therefore are not reflected separately.</w:t>
      </w:r>
    </w:p>
    <w:p>
      <w:pPr>
        <w:spacing w:after="0" w:line="162"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outstanding securities, including DOC Warrant to purchase 17,600,584 shares of USAR Common Stock were excluded from the computation of pro forma diluted net loss per share because their effect would have been anti-dilutive.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41"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USA Rare Earth, Inc. (“USAR,” “we,” “our,” and “us”) is providing the additional information below for the purpose of supplementing disclosures contained in USAR’s filings with the Securities and Exchange Commission (the “SEC”). Unless otherwise noted or the context otherwise requires:</w:t>
      </w:r>
    </w:p>
    <w:p>
      <w:pPr>
        <w:spacing w:after="0" w:line="162" w:lineRule="exact"/>
        <w:rPr>
          <w:sz w:val="20"/>
          <w:szCs w:val="20"/>
          <w:color w:val="auto"/>
        </w:rPr>
      </w:pPr>
    </w:p>
    <w:p>
      <w:pPr>
        <w:ind w:left="660" w:right="20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“merger” refer to merger of SVRE Holdings Ltd. (“SVRE”) with and into Middlebury Merger Sub Ltd. (“Merger Sub”), an indirect, wholly owned subsidiary of USAR, with Merger Sub continuing as the surviving company and an indirect, wholly owned subsidiary of USAR, pursuant to the Agreement and Plan of Merger, dated as of April 19, 2026 (as it may be amended from time to time, the “Merger Agreement”), by and among USAR, Merger Sub, SVRE and Serra Verde Rare Earths Ltd., as Shareholder Representative; and</w:t>
      </w:r>
    </w:p>
    <w:p>
      <w:pPr>
        <w:spacing w:after="0" w:line="206"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“Parent Loan Agreement” refer to (i) a direct funding agreement (the “Direct Funding Agreement”) among USAR, certain subsidiaries of USAR, as guarantors, and the U.S. Department of Commerce (the “DOC”) entered into on June 3, 2026, providing for direct funding awards with a maximum award amount of $277.0 million, and (ii) a loan guarantee agreement (the “Loan Guarantee Agreement”) entered into on June 3, 2026 among USAR, certain subsidiaries of USAR, as guarantors, and the DOC, pursuant to which the DOC has agreed to guarantee USAR’s repayment of advances in an aggregate principal amount of up to $1.3 billion made by the Federal Financing Bank pursuant to a note purchase agreement to be entered into among USAR, the Federal Financing Bank and the Secretary of Commerce.</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shares of Common Stock in the merger and other contemplated issuances will dilute the voting power of existing USAR stockholders and their percentage interest in any future earnings of USAR.</w:t>
      </w:r>
    </w:p>
    <w:p>
      <w:pPr>
        <w:spacing w:after="0" w:line="15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merger, USAR will issue 126,849,307 shares of USAR’s common stock, par value $0.0001 per share (“Common Stock”) to the former SVRE securityholders as aggregate stock merger consideration.</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a result, the issuance of shares of Common Stock in the merger will significantly reduce the relative voting power of existing USAR stockholders and dilute their percentage interest in any future earnings, dividends or other distributions of USAR. The actual extent of any such dilution will depend on a number of factors, including the number of shares of Common Stock outstanding at the effective time of the merger, the future operating results of USAR and the combined company, and the timing and amount of any future issuances of Common Stock or other equity securities by USAR.</w:t>
      </w:r>
    </w:p>
    <w:p>
      <w:pPr>
        <w:spacing w:after="0" w:line="180"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The impact of dilution to USAR’s shareholders will also be impacted by other transactions that are currently pending or that have been consummated since the date of the Merger Agreement, including (1) USAR’s agreement to issue 3,823,328 shares of Common Stock as merger consideration in connection with the proposed acquisition of Texas Mineral Resources Corp. (“TMRC”) (the “TMRC Transaction”), (2) the issuance of 16,132,790 shares of Common Stock and a warrant to purchase 17,600,584 shares of Common Stock (at an exercise price of $17.17 per share) to the U.S. Department of Commerce on June 3, 2026 in connection with the Parent Loan Agreement, (3) our commitment to issue approximately $13.5 million of Common Stock (or pay cash) to Carester SAS (“Carester”) in connection with the proposed transaction with Carester (the “Carester Transaction”), and (4) the issuance of an aggregate of 10,100,000 shares of Common Stock as earnout shares (the “Earnout Shares”) upon the achievement of the applicable market-price conditions (5,050,000 shares issued on April 15, 2026 and 5,050,000 shares issued on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quantifies, on a disaggregated basis, the potential dilutive effect of these transactions and material agreements. Dilutive effect percentages are calculated based on 228,525,623 shares of Common Stock outstanding as of June 9,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 of Fully-</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Diluted</w:t>
            </w:r>
          </w:p>
        </w:tc>
      </w:tr>
      <w:tr>
        <w:trPr>
          <w:trHeight w:val="245"/>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Issuable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Borders>
              <w:bottom w:val="single" w:sz="8" w:color="CCEEFF"/>
            </w:tcBorders>
          </w:tcPr>
          <w:p>
            <w:pPr>
              <w:spacing w:after="0"/>
              <w:rPr>
                <w:sz w:val="21"/>
                <w:szCs w:val="21"/>
                <w:color w:val="auto"/>
              </w:rPr>
            </w:pPr>
          </w:p>
        </w:tc>
      </w:tr>
      <w:tr>
        <w:trPr>
          <w:trHeight w:val="257"/>
        </w:trPr>
        <w:tc>
          <w:tcPr>
            <w:tcW w:w="8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Shares of Common Prior to Issuances Noted Below</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223,288,847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Merger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126,849,307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U.S. Department of Commerce – Warrant</w:t>
            </w:r>
            <w:r>
              <w:rPr>
                <w:rFonts w:ascii="Times New Roman" w:cs="Times New Roman" w:eastAsia="Times New Roman" w:hAnsi="Times New Roman"/>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17,600,584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U.S. Department of Commerce – Direct Funding Agreement</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16,132,790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Under USAR Equity Incentive Plan for Future Grants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12,407,921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Earnout Shares</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10,100,000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TMRC Transaction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3,823,328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7"/>
        </w:trPr>
        <w:tc>
          <w:tcPr>
            <w:tcW w:w="86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Carester Transaction</w:t>
            </w:r>
            <w:r>
              <w:rPr>
                <w:rFonts w:ascii="Times New Roman" w:cs="Times New Roman" w:eastAsia="Times New Roman" w:hAnsi="Times New Roman"/>
                <w:sz w:val="29"/>
                <w:szCs w:val="29"/>
                <w:color w:val="auto"/>
                <w:vertAlign w:val="superscript"/>
              </w:rPr>
              <w:t>(5)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646,020</w:t>
            </w:r>
          </w:p>
        </w:tc>
        <w:tc>
          <w:tcPr>
            <w:tcW w:w="2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0"/>
        </w:trPr>
        <w:tc>
          <w:tcPr>
            <w:tcW w:w="8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Fully-Diluted Shares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410,848,797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8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40" w:right="20" w:hanging="332"/>
        <w:spacing w:after="0" w:line="255"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outstanding and shares issuable upon the exercise or conversion of outstanding equity instruments as of June 9, 2026, except for (1) the shares underlying the warrant issued to the U.S. Department of Commerce on June 3, 2026, (2) the shares of Common Stock issued to the U.S. Department of Commerce on June 3, 2026, (3) the Earnout Shares issued on April 15, 2026 and May 16, 2026, or (4) shares reserved under USAR’s equity incentive plan for future grants, which are included as separate line items.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full exercise at an exercise price of $17.17.</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June 3, 2026.</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5,050,000 shares issued on April 15, 2026 and 5,050,000 shares issued May 15, 2026.</w:t>
      </w:r>
    </w:p>
    <w:p>
      <w:pPr>
        <w:spacing w:after="0" w:line="9" w:lineRule="exact"/>
        <w:rPr>
          <w:rFonts w:ascii="Times New Roman" w:cs="Times New Roman" w:eastAsia="Times New Roman" w:hAnsi="Times New Roman"/>
          <w:sz w:val="18"/>
          <w:szCs w:val="18"/>
          <w:color w:val="auto"/>
        </w:rPr>
      </w:pPr>
    </w:p>
    <w:p>
      <w:pPr>
        <w:ind w:left="340" w:right="200" w:hanging="332"/>
        <w:spacing w:after="0" w:line="26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estimated based on the dollar amount of the share consideration to be issued in the transaction (approximately $13.5 million based on the EUR to USD exchange rate on June 9, 2026), divided by the closing price of the Common Stock on such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Mining Disclosure; Subpart 1300 of Regulation S-K</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2025, SVRE designated the Pela Ema mine in Brazil as a development stage property and capitalized mine development costs on the basis that a final feasibility study had been completed and mineral reserves had been disclosed. The reserve estimates referenced in SVRE’s financial statements included as Exhibit 99.3 in USAR’s Current Report on Form 8-K filed with the SEC on May 13, 2026 were as of February 2015 and an initial report was prepared by RPA Inc., dated April 2, 2015, in accordance with CIM standards. RPA Inc. was an independent mining consulting firm at the time. Reserve estimates were updated (i) as of December 31, 2021 in a report prepared by SRK Consulting (UK) Limited in compliance with Subpart 1300 of Regulation S-K, and (ii) as of June 30, 2023 in a report prepared by SRK Consulting (UK) Limited in compliance with JORC Code.</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SRK is an associate company of the international group holding company SRK Consulting (Global) Limited, an independent engineering consultancy. These estimates were prepared before USAR entered into the Merger Agreement to acquire an interest in the property containing the deposit. A qualified person has not done sufficient work to classify these estimates as current estimates of mineral resources or mineral reserves, and USAR is not treating the estimates referenced in SVRE’s financial statements as current estimates of mineral resources, mineral reserves, or exploration results.</w:t>
      </w:r>
    </w:p>
    <w:p>
      <w:pPr>
        <w:spacing w:after="0" w:line="180"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Upon completion of the merger, USAR expects to designate the Pela Ema mine as a development stage property and to continue capitalization of related costs as mine development costs on this basis. USAR expects to report proven and probable mineral reserves for the Pela Ema mine and to file a technical report summary that conforms to the requirements of Item 601(b)(96) and Subpart 1300 of Regulation S-K in connection with its first Annual Report on Form 10-K following the closing of the merger.</w:t>
      </w:r>
    </w:p>
    <w:p>
      <w:pPr>
        <w:spacing w:after="0" w:line="18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See Note 6, “Property and Equipment, net,” in the notes to SVRE’s financial statements included as Exhibit 99.3 in USAR’s Current Report on Form 8-K filed with the SEC on May 13, 2026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1"/>
      <w:numFmt w:val="decimal"/>
      <w:start w:val="104"/>
    </w:lvl>
  </w:abstractNum>
  <w:abstractNum w:abstractNumId="3">
    <w:nsid w:val="5BD062C2"/>
    <w:multiLevelType w:val="hybridMultilevel"/>
    <w:lvl w:ilvl="0">
      <w:lvlJc w:val="left"/>
      <w:lvlText w:val="(%1)"/>
      <w:numFmt w:val="lowerRoman"/>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upperLetter"/>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6"/>
    </w:lvl>
    <w:lvl w:ilvl="1">
      <w:lvlJc w:val="left"/>
      <w:lvlText w:val="(%2)"/>
      <w:numFmt w:val="upperLetter"/>
      <w:start w:val="3"/>
    </w:lvl>
  </w:abstractNum>
  <w:abstractNum w:abstractNumId="8">
    <w:nsid w:val="1190CDE7"/>
    <w:multiLevelType w:val="hybridMultilevel"/>
    <w:lvl w:ilvl="0">
      <w:lvlJc w:val="left"/>
      <w:lvlText w:val="%1."/>
      <w:numFmt w:val="decimal"/>
      <w:start w:val="3"/>
    </w:lvl>
  </w:abstractNum>
  <w:abstractNum w:abstractNumId="9">
    <w:nsid w:val="66EF438D"/>
    <w:multiLevelType w:val="hybridMultilevel"/>
    <w:lvl w:ilvl="0">
      <w:lvlJc w:val="left"/>
      <w:lvlText w:val="(%1)"/>
      <w:numFmt w:val="upperLetter"/>
      <w:start w:val="27"/>
    </w:lvl>
  </w:abstractNum>
  <w:abstractNum w:abstractNumId="10">
    <w:nsid w:val="140E0F76"/>
    <w:multiLevelType w:val="hybridMultilevel"/>
    <w:lvl w:ilvl="0">
      <w:lvlJc w:val="left"/>
      <w:lvlText w:val="(%1)"/>
      <w:numFmt w:val="upperLetter"/>
      <w:start w:val="29"/>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2026-06-15T05:44:51Z</dcterms:created>
  <dcterms:modified xsi:type="dcterms:W3CDTF">2026-06-15T05:44:51Z</dcterms:modified>
</cp:coreProperties>
</file>