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5221-8k_usarare.htm"/>
      <w:bookmarkStart w:id="1" w:name="ksea02952218k_usarar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6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June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2285"/>
        <w:gridCol w:w="60"/>
        <w:gridCol w:w="2630"/>
        <w:gridCol w:w="60"/>
        <w:gridCol w:w="1550"/>
      </w:tblGrid>
      <w:tr>
        <w:trPr/>
        <w:tc>
          <w:tcPr>
            <w:tcW w:w="2285" w:type="dxa"/>
            <w:tcBorders>
              <w:bottom w:val="single" w:sz="12" w:space="0" w:color="000000"/>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30" w:type="dxa"/>
            <w:tcBorders>
              <w:bottom w:val="single" w:sz="12" w:space="0" w:color="000000"/>
            </w:tcBorders>
            <w:vAlign w:val="center"/>
          </w:tcPr>
          <w:p>
            <w:pPr>
              <w:pStyle w:val="TableContents"/>
              <w:bidi w:val="0"/>
              <w:spacing w:before="0" w:after="283"/>
              <w:jc w:val="center"/>
              <w:rPr>
                <w:b/>
              </w:rPr>
            </w:pPr>
            <w:bookmarkStart w:id="6" w:name="xdx_904_edei--EntityFileNumber_c20260616"/>
            <w:bookmarkEnd w:id="6"/>
            <w:r>
              <w:rPr>
                <w:b/>
              </w:rPr>
              <w:t>001-41711</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b/>
              </w:rPr>
            </w:pPr>
            <w:bookmarkStart w:id="7" w:name="xdx_908_edei--EntityTaxIdentificationNum"/>
            <w:bookmarkEnd w:id="7"/>
            <w:r>
              <w:rPr>
                <w:b/>
              </w:rPr>
              <w:t>98-1720278</w:t>
            </w:r>
          </w:p>
        </w:tc>
      </w:tr>
      <w:tr>
        <w:trPr/>
        <w:tc>
          <w:tcPr>
            <w:tcW w:w="22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30" w:type="dxa"/>
            <w:tcBorders/>
            <w:tcMar>
              <w:bottom w:w="0" w:type="dxa"/>
            </w:tcMar>
            <w:vAlign w:val="center"/>
          </w:tcPr>
          <w:p>
            <w:pPr>
              <w:pStyle w:val="TableContents"/>
              <w:bidi w:val="0"/>
              <w:spacing w:before="0" w:after="283"/>
              <w:jc w:val="center"/>
              <w:rPr>
                <w:i/>
              </w:rPr>
            </w:pPr>
            <w:r>
              <w:rPr>
                <w:i/>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5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100 W. Airport Road, </w:t>
      </w:r>
      <w:bookmarkStart w:id="9" w:name="xdx_904_edei--EntityAddressCityOrTown_c2"/>
      <w:bookmarkEnd w:id="9"/>
      <w:r>
        <w:rPr>
          <w:rFonts w:ascii="Times New Roman;Times;Serif" w:hAnsi="Times New Roman;Times;Serif"/>
          <w:b/>
          <w:i w:val="false"/>
          <w:caps w:val="false"/>
          <w:smallCaps w:val="false"/>
          <w:sz w:val="20"/>
        </w:rPr>
        <w:t xml:space="preserve">Stillwater, </w:t>
      </w:r>
      <w:bookmarkStart w:id="10" w:name="xdx_905_edei--EntityAddressStateOrProvin"/>
      <w:bookmarkEnd w:id="10"/>
      <w:r>
        <w:rPr>
          <w:rFonts w:ascii="Times New Roman;Times;Serif" w:hAnsi="Times New Roman;Times;Serif"/>
          <w:b/>
          <w:i w:val="false"/>
          <w:caps w:val="false"/>
          <w:smallCaps w:val="false"/>
          <w:sz w:val="20"/>
        </w:rPr>
        <w:t xml:space="preserve">OK </w:t>
      </w:r>
      <w:bookmarkStart w:id="11" w:name="xdx_900_edei--EntityAddressPostalZipCode"/>
      <w:bookmarkEnd w:id="11"/>
      <w:r>
        <w:rPr>
          <w:rFonts w:ascii="Times New Roman;Times;Serif" w:hAnsi="Times New Roman;Times;Serif"/>
          <w:b/>
          <w:i w:val="false"/>
          <w:caps w:val="false"/>
          <w:smallCaps w:val="false"/>
          <w:sz w:val="20"/>
        </w:rPr>
        <w:t>74075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616__20"/>
      <w:bookmarkEnd w:id="12"/>
      <w:r>
        <w:rPr>
          <w:rFonts w:ascii="Times New Roman;Times;Serif" w:hAnsi="Times New Roman;Times;Serif"/>
          <w:b/>
          <w:i w:val="false"/>
          <w:caps w:val="false"/>
          <w:smallCaps w:val="false"/>
          <w:sz w:val="20"/>
        </w:rPr>
        <w:t xml:space="preserve">813) </w:t>
      </w:r>
      <w:bookmarkStart w:id="13" w:name="xdx_90E_edei--LocalPhoneNumber_c20260616"/>
      <w:bookmarkEnd w:id="13"/>
      <w:r>
        <w:rPr>
          <w:rFonts w:ascii="Times New Roman;Times;Serif" w:hAnsi="Times New Roman;Times;Serif"/>
          <w:b/>
          <w:i w:val="false"/>
          <w:caps w:val="false"/>
          <w:smallCaps w:val="false"/>
          <w:sz w:val="20"/>
        </w:rPr>
        <w:t>867-6155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D_edei--SolicitingMaterial_c202606"/>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3350"/>
        <w:gridCol w:w="60"/>
        <w:gridCol w:w="1805"/>
        <w:gridCol w:w="60"/>
        <w:gridCol w:w="4235"/>
      </w:tblGrid>
      <w:tr>
        <w:trPr/>
        <w:tc>
          <w:tcPr>
            <w:tcW w:w="3350"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0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4235"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3350" w:type="dxa"/>
            <w:tcBorders/>
            <w:shd w:fill="CCEEFF" w:val="clear"/>
            <w:tcMar>
              <w:bottom w:w="0" w:type="dxa"/>
            </w:tcMar>
            <w:vAlign w:val="center"/>
          </w:tcPr>
          <w:p>
            <w:pPr>
              <w:pStyle w:val="TableContents"/>
              <w:bidi w:val="0"/>
              <w:spacing w:before="0" w:after="283"/>
              <w:jc w:val="center"/>
              <w:rPr/>
            </w:pPr>
            <w:bookmarkStart w:id="18" w:name="xdx_900_edei--Security12bTitle_c20260616"/>
            <w:bookmarkEnd w:id="18"/>
            <w:r>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05" w:type="dxa"/>
            <w:tcBorders/>
            <w:shd w:fill="CCEEFF" w:val="clear"/>
            <w:tcMar>
              <w:bottom w:w="0" w:type="dxa"/>
            </w:tcMar>
            <w:vAlign w:val="center"/>
          </w:tcPr>
          <w:p>
            <w:pPr>
              <w:pStyle w:val="TableContents"/>
              <w:bidi w:val="0"/>
              <w:spacing w:before="0" w:after="283"/>
              <w:jc w:val="center"/>
              <w:rPr/>
            </w:pPr>
            <w:bookmarkStart w:id="19" w:name="xdx_902_edei--TradingSymbol_c20260616__2"/>
            <w:bookmarkEnd w:id="19"/>
            <w:r>
              <w:rPr/>
              <w:t>USAR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35" w:type="dxa"/>
            <w:tcBorders/>
            <w:shd w:fill="CCEEFF" w:val="clear"/>
            <w:tcMar>
              <w:bottom w:w="0" w:type="dxa"/>
            </w:tcMar>
            <w:vAlign w:val="center"/>
          </w:tcPr>
          <w:p>
            <w:pPr>
              <w:pStyle w:val="TableContents"/>
              <w:bidi w:val="0"/>
              <w:spacing w:before="0" w:after="283"/>
              <w:jc w:val="center"/>
              <w:rPr/>
            </w:pPr>
            <w:r>
              <w:rPr/>
              <w:t>The</w:t>
            </w:r>
            <w:bookmarkStart w:id="20" w:name="xdx_908_edei--SecurityExchangeName_c2026"/>
            <w:bookmarkEnd w:id="20"/>
            <w:r>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of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USA Rare Earth, Inc. (the “Company”) decided to end its relationship with David Kronenfeld, the Company’s general counsel, pursuant to a transition and separation agreement (the “Transition and Separation Agreement”) according to which Mr. Kronenfeld’s employment will end on August 7, 2026, followed by a six-month transition period during which he will provide consulting services to the Company to assist with the transition of his knowledge and duties (the “Transition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Kronenfeld’s separation will entitle him to payments and benefits under the Company’s Severance Plan (described below), subject to Mr. Kronenfeld’s execution and non-revocation of a general release of claims in favor of the Company and his continued compliance with applicable restrictive covenants. Such payments and benefits will consist of: (a) a cash severance payment of $170,625, which is equal to 6 months’ of Mr. Kronenfeld’s annual base salary; (b) payment of the Company’s portion of Mr. Kronenfeld’s health and welfare benefit costs pursuant to COBRA for 6 months; and (c) accelerated vesting, as of his date of separation, of Mr. Kronenfeld’s outstanding awards of unvested time-based restricted stock units in respect of (i) 3,699 shares of the Company’s common stock otherwise scheduled to vest on December 1, 2026, (ii) 10,846 shares of the Company’s common stock otherwise scheduled to vest on March 1, 2027 and (iii) 27,298 shares of the Company’s common stock otherwise scheduled to vest on May 20, 2027, which are the tranches of his outstanding restricted stock units that are next scheduled to vest. In addition, because of Mr. Kronenfeld’s longstanding service, the Company agreed to accelerate the vesting of an additional 3,698 of Mr. Kronenfeld’s restricted stock units as of his date of separation and an additional 10,847 restricted stock units at the end of the Transition Period (subject to his continued provision of services during the Transition Period) and provide him with outplacement services in an amount of up to $15,000. All of Mr. Kronenfeld’s other restricted stock units will be forfeited upon his separation. Mr. Kronenfeld will also be paid a prorated bonus for the year of separation. Mr. Kronenfeld will not be paid any cash compensation for his services during the Transition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Transition and Separation Agreement is qualified in its entirety by reference to the Transition and Separation Agreement, which will be filed as an exhibit to the Company’s Quarterly Report on Form 10-Q for the quarter ending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shd w:fill="FFFFFF" w:val="clear"/>
        <w:tblLayout w:type="fixed"/>
        <w:tblCellMar>
          <w:top w:w="0" w:type="dxa"/>
          <w:left w:w="0" w:type="dxa"/>
          <w:bottom w:w="28" w:type="dxa"/>
          <w:right w:w="0" w:type="dxa"/>
        </w:tblCellMar>
      </w:tblPr>
      <w:tblGrid>
        <w:gridCol w:w="1205"/>
        <w:gridCol w:w="60"/>
        <w:gridCol w:w="7625"/>
      </w:tblGrid>
      <w:tr>
        <w:trPr/>
        <w:tc>
          <w:tcPr>
            <w:tcW w:w="1205" w:type="dxa"/>
            <w:tcBorders>
              <w:bottom w:val="single" w:sz="12" w:space="0" w:color="000000"/>
            </w:tcBorders>
            <w:shd w:fill="FFFFFF" w:val="clear"/>
            <w:vAlign w:val="center"/>
          </w:tcPr>
          <w:p>
            <w:pPr>
              <w:pStyle w:val="TableContents"/>
              <w:bidi w:val="0"/>
              <w:spacing w:before="0" w:after="283"/>
              <w:jc w:val="left"/>
              <w:rPr>
                <w:b/>
              </w:rPr>
            </w:pPr>
            <w:r>
              <w:rPr>
                <w:b/>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25" w:type="dxa"/>
            <w:tcBorders>
              <w:bottom w:val="single" w:sz="12" w:space="0" w:color="000000"/>
            </w:tcBorders>
            <w:shd w:fill="FFFFFF" w:val="clear"/>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25"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940"/>
        <w:gridCol w:w="425"/>
        <w:gridCol w:w="2105"/>
      </w:tblGrid>
      <w:tr>
        <w:trPr/>
        <w:tc>
          <w:tcPr>
            <w:tcW w:w="1940" w:type="dxa"/>
            <w:tcBorders/>
            <w:vAlign w:val="center"/>
          </w:tcPr>
          <w:p>
            <w:pPr>
              <w:pStyle w:val="TableContents"/>
              <w:bidi w:val="0"/>
              <w:spacing w:before="0" w:after="283"/>
              <w:jc w:val="both"/>
              <w:rPr/>
            </w:pPr>
            <w:r>
              <w:rPr/>
              <w:t> </w:t>
            </w:r>
          </w:p>
        </w:tc>
        <w:tc>
          <w:tcPr>
            <w:tcW w:w="2530" w:type="dxa"/>
            <w:gridSpan w:val="2"/>
            <w:tcBorders/>
            <w:vAlign w:val="center"/>
          </w:tcPr>
          <w:p>
            <w:pPr>
              <w:pStyle w:val="TableContents"/>
              <w:bidi w:val="0"/>
              <w:spacing w:before="0" w:after="283"/>
              <w:jc w:val="left"/>
              <w:rPr>
                <w:b/>
              </w:rPr>
            </w:pPr>
            <w:r>
              <w:rPr>
                <w:b/>
              </w:rPr>
              <w:t>USA Rare Earth, Inc.</w:t>
            </w:r>
          </w:p>
        </w:tc>
      </w:tr>
      <w:tr>
        <w:trPr/>
        <w:tc>
          <w:tcPr>
            <w:tcW w:w="194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 </w:t>
            </w:r>
          </w:p>
        </w:tc>
      </w:tr>
      <w:tr>
        <w:trPr/>
        <w:tc>
          <w:tcPr>
            <w:tcW w:w="1940" w:type="dxa"/>
            <w:tcBorders/>
            <w:vAlign w:val="center"/>
          </w:tcPr>
          <w:p>
            <w:pPr>
              <w:pStyle w:val="TableContents"/>
              <w:bidi w:val="0"/>
              <w:spacing w:before="0" w:after="283"/>
              <w:jc w:val="both"/>
              <w:rPr/>
            </w:pPr>
            <w:r>
              <w:rPr/>
              <w:t>Date: June 18, 2026</w:t>
            </w:r>
          </w:p>
        </w:tc>
        <w:tc>
          <w:tcPr>
            <w:tcW w:w="425" w:type="dxa"/>
            <w:tcBorders/>
            <w:vAlign w:val="center"/>
          </w:tcPr>
          <w:p>
            <w:pPr>
              <w:pStyle w:val="TableContents"/>
              <w:bidi w:val="0"/>
              <w:spacing w:before="0" w:after="283"/>
              <w:jc w:val="left"/>
              <w:rPr/>
            </w:pPr>
            <w:r>
              <w:rPr/>
              <w:t xml:space="preserve">By: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/s/ Valerie Ford Jacob</w:t>
            </w:r>
          </w:p>
        </w:tc>
      </w:tr>
      <w:tr>
        <w:trPr/>
        <w:tc>
          <w:tcPr>
            <w:tcW w:w="194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Valerie Ford Jacob</w:t>
            </w:r>
          </w:p>
        </w:tc>
      </w:tr>
      <w:tr>
        <w:trPr/>
        <w:tc>
          <w:tcPr>
            <w:tcW w:w="1940"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Chief Legal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819</Words>
  <Characters>4452</Characters>
  <CharactersWithSpaces>5269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