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before="0" w:after="0"/>
        <w:jc w:val="left"/>
        <w:rPr/>
      </w:pPr>
      <w:bookmarkStart w:id="0" w:name="wk-form4_1784588234.xml.htm"/>
      <w:bookmarkStart w:id="1" w:name="kswkform4_1784588234"/>
      <w:bookmarkEnd w:id="0"/>
      <w:bookmarkEnd w:id="1"/>
      <w:r>
        <w:rPr/>
        <w:t xml:space="preserve">SEC Form 4 </w:t>
      </w:r>
    </w:p>
    <w:tbl>
      <w:tblPr>
        <w:tblW w:w="5000" w:type="pct"/>
        <w:jc w:val="left"/>
        <w:tblInd w:w="0" w:type="dxa"/>
        <w:tblLayout w:type="fixed"/>
        <w:tblCellMar>
          <w:top w:w="60" w:type="dxa"/>
          <w:left w:w="60" w:type="dxa"/>
          <w:bottom w:w="60" w:type="dxa"/>
          <w:right w:w="60" w:type="dxa"/>
        </w:tblCellMar>
      </w:tblPr>
      <w:tblGrid>
        <w:gridCol w:w="345"/>
        <w:gridCol w:w="1891"/>
        <w:gridCol w:w="5977"/>
        <w:gridCol w:w="1992"/>
      </w:tblGrid>
      <w:tr>
        <w:trPr/>
        <w:tc>
          <w:tcPr>
            <w:tcW w:w="2236" w:type="dxa"/>
            <w:gridSpan w:val="2"/>
            <w:tcBorders/>
          </w:tcPr>
          <w:p>
            <w:pPr>
              <w:pStyle w:val="TableContents"/>
              <w:bidi w:val="0"/>
              <w:spacing w:before="0" w:after="283"/>
              <w:jc w:val="center"/>
              <w:rPr>
                <w:rFonts w:ascii="arial;helvetica;sans-serif" w:hAnsi="arial;helvetica;sans-serif"/>
                <w:b/>
                <w:sz w:val="36"/>
              </w:rPr>
            </w:pPr>
            <w:r>
              <w:rPr>
                <w:rFonts w:ascii="arial;helvetica;sans-serif" w:hAnsi="arial;helvetica;sans-serif"/>
                <w:b/>
                <w:sz w:val="36"/>
              </w:rPr>
              <w:t>FORM 4</w:t>
            </w:r>
          </w:p>
        </w:tc>
        <w:tc>
          <w:tcPr>
            <w:tcW w:w="5977" w:type="dxa"/>
            <w:vMerge w:val="restart"/>
            <w:tcBorders/>
            <w:vAlign w:val="center"/>
          </w:tcPr>
          <w:p>
            <w:pPr>
              <w:pStyle w:val="TableContents"/>
              <w:bidi w:val="0"/>
              <w:spacing w:before="0" w:after="283"/>
              <w:jc w:val="left"/>
              <w:rPr/>
            </w:pPr>
            <w:r>
              <w:rPr>
                <w:rFonts w:ascii="arial;helvetica;sans-serif" w:hAnsi="arial;helvetica;sans-serif"/>
                <w:b/>
                <w:sz w:val="28"/>
              </w:rPr>
              <w:t>UNITED STATES SECURITIES AND EXCHANGE COMMISSION</w:t>
            </w:r>
            <w:r>
              <w:rPr/>
              <w:br/>
            </w:r>
            <w:r>
              <w:rPr>
                <w:rFonts w:ascii="arial;helvetica;sans-serif" w:hAnsi="arial;helvetica;sans-serif"/>
                <w:sz w:val="20"/>
              </w:rPr>
              <w:t>Washington, D.C. 20549</w:t>
            </w:r>
            <w:r>
              <w:rPr/>
              <w:br/>
              <w:br/>
            </w:r>
            <w:r>
              <w:rPr>
                <w:rFonts w:ascii="arial;helvetica;sans-serif" w:hAnsi="arial;helvetica;sans-serif"/>
                <w:b/>
                <w:sz w:val="28"/>
              </w:rPr>
              <w:t>STATEMENT OF CHANGES IN BENEFICIAL OWNERSHIP</w:t>
            </w:r>
            <w:r>
              <w:rPr/>
              <w:br/>
              <w:br/>
            </w:r>
            <w:r>
              <w:rPr>
                <w:rFonts w:ascii="arial;helvetica;sans-serif" w:hAnsi="arial;helvetica;sans-serif"/>
                <w:sz w:val="20"/>
              </w:rPr>
              <w:t>Filed pursuant to Section 16(a) of the Securities Exchange Act of 1934</w:t>
            </w:r>
            <w:r>
              <w:rPr/>
              <w:br/>
            </w:r>
            <w:r>
              <w:rPr>
                <w:rFonts w:ascii="arial;helvetica;sans-serif" w:hAnsi="arial;helvetica;sans-serif"/>
                <w:sz w:val="20"/>
              </w:rPr>
              <w:t>or Section 30(h) of the Investment Company Act of 1940</w:t>
            </w:r>
          </w:p>
        </w:tc>
        <w:tc>
          <w:tcPr>
            <w:tcW w:w="1992" w:type="dxa"/>
            <w:vMerge w:val="restart"/>
            <w:tcBorders/>
          </w:tcPr>
          <w:p>
            <w:pPr>
              <w:pStyle w:val="TableContents"/>
              <w:bidi w:val="0"/>
              <w:spacing w:before="0" w:after="0"/>
              <w:jc w:val="center"/>
              <w:rPr/>
            </w:pPr>
            <w:r>
              <w:rPr/>
              <w:t> </w:t>
            </w:r>
          </w:p>
          <w:tbl>
            <w:tblPr>
              <w:tblW w:w="5000" w:type="pct"/>
              <w:jc w:val="center"/>
              <w:tblInd w:w="0" w:type="dxa"/>
              <w:tblLayout w:type="fixed"/>
              <w:tblCellMar>
                <w:top w:w="28" w:type="dxa"/>
                <w:left w:w="28" w:type="dxa"/>
                <w:bottom w:w="28" w:type="dxa"/>
                <w:right w:w="28" w:type="dxa"/>
              </w:tblCellMar>
            </w:tblPr>
            <w:tblGrid>
              <w:gridCol w:w="1872"/>
            </w:tblGrid>
            <w:tr>
              <w:trPr/>
              <w:tc>
                <w:tcPr>
                  <w:tcW w:w="1872" w:type="dxa"/>
                  <w:tcBorders>
                    <w:top w:val="double" w:sz="2" w:space="0" w:color="808080"/>
                    <w:left w:val="double" w:sz="2" w:space="0" w:color="808080"/>
                    <w:bottom w:val="double" w:sz="2" w:space="0" w:color="808080"/>
                    <w:right w:val="double" w:sz="2" w:space="0" w:color="808080"/>
                  </w:tcBorders>
                  <w:vAlign w:val="center"/>
                </w:tcPr>
                <w:p>
                  <w:pPr>
                    <w:pStyle w:val="TableContents"/>
                    <w:bidi w:val="0"/>
                    <w:spacing w:before="0" w:after="0"/>
                    <w:jc w:val="center"/>
                    <w:rPr>
                      <w:rFonts w:ascii="arial;helvetica;sans-serif" w:hAnsi="arial;helvetica;sans-serif"/>
                      <w:b w:val="false"/>
                      <w:sz w:val="24"/>
                    </w:rPr>
                  </w:pPr>
                  <w:r>
                    <w:rPr>
                      <w:rFonts w:ascii="arial;helvetica;sans-serif" w:hAnsi="arial;helvetica;sans-serif"/>
                      <w:b w:val="false"/>
                      <w:sz w:val="24"/>
                    </w:rPr>
                    <w:t>OMB APPROVAL</w:t>
                  </w:r>
                </w:p>
                <w:tbl>
                  <w:tblPr>
                    <w:tblW w:w="5000" w:type="pct"/>
                    <w:jc w:val="left"/>
                    <w:tblInd w:w="0" w:type="dxa"/>
                    <w:tblLayout w:type="fixed"/>
                    <w:tblCellMar>
                      <w:top w:w="28" w:type="dxa"/>
                      <w:left w:w="28" w:type="dxa"/>
                      <w:bottom w:w="28" w:type="dxa"/>
                      <w:right w:w="28" w:type="dxa"/>
                    </w:tblCellMar>
                  </w:tblPr>
                  <w:tblGrid>
                    <w:gridCol w:w="1147"/>
                    <w:gridCol w:w="669"/>
                  </w:tblGrid>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OMB Number:</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3235-0287</w:t>
                        </w:r>
                      </w:p>
                    </w:tc>
                  </w:tr>
                  <w:tr>
                    <w:trPr/>
                    <w:tc>
                      <w:tcPr>
                        <w:tcW w:w="1816" w:type="dxa"/>
                        <w:gridSpan w:val="2"/>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Estimated average burden</w:t>
                        </w:r>
                      </w:p>
                    </w:tc>
                  </w:tr>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hours per response:</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0.5</w:t>
                        </w:r>
                      </w:p>
                    </w:tc>
                  </w:tr>
                </w:tbl>
                <w:p>
                  <w:pPr>
                    <w:pStyle w:val="TableContents"/>
                    <w:bidi w:val="0"/>
                    <w:spacing w:before="0" w:after="283"/>
                    <w:jc w:val="left"/>
                    <w:rPr/>
                  </w:pPr>
                  <w:r>
                    <w:rPr/>
                  </w:r>
                </w:p>
              </w:tc>
            </w:tr>
            <w:tr>
              <w:trPr/>
              <w:tc>
                <w:tcPr>
                  <w:tcW w:w="1872" w:type="dxa"/>
                  <w:tcBorders>
                    <w:left w:val="double" w:sz="2" w:space="0" w:color="808080"/>
                    <w:bottom w:val="double" w:sz="2" w:space="0" w:color="808080"/>
                    <w:right w:val="double" w:sz="2" w:space="0" w:color="808080"/>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r>
      <w:tr>
        <w:trPr/>
        <w:tc>
          <w:tcPr>
            <w:tcW w:w="345" w:type="dxa"/>
            <w:tcBorders/>
            <w:vAlign w:val="center"/>
          </w:tcPr>
          <w:p>
            <w:pPr>
              <w:pStyle w:val="TableContents"/>
              <w:bidi w:val="0"/>
              <w:spacing w:before="0" w:after="283"/>
              <w:jc w:val="left"/>
              <w:rPr/>
            </w:pPr>
            <w:r>
              <w:rPr/>
              <w:drawing>
                <wp:inline distT="0" distB="0" distL="0" distR="0">
                  <wp:extent cx="142875" cy="1428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 xml:space="preserve">Check this box if no longer subject to Section 16. Form 4 or Form 5 obligations may continue. </w:t>
            </w:r>
            <w:r>
              <w:rPr>
                <w:rFonts w:ascii="arial;helvetica;sans-serif" w:hAnsi="arial;helvetica;sans-serif"/>
                <w:i/>
                <w:sz w:val="14"/>
              </w:rPr>
              <w:t>See</w:t>
            </w:r>
            <w:r>
              <w:rPr>
                <w:rFonts w:ascii="arial;helvetica;sans-serif" w:hAnsi="arial;helvetica;sans-serif"/>
                <w:sz w:val="14"/>
              </w:rPr>
              <w:t xml:space="preserve"> Instruction 1(b).</w:t>
            </w:r>
          </w:p>
        </w:tc>
        <w:tc>
          <w:tcPr>
            <w:tcW w:w="5977" w:type="dxa"/>
            <w:vMerge w:val="continue"/>
            <w:tcBorders/>
            <w:vAlign w:val="center"/>
          </w:tcPr>
          <w:p>
            <w:pPr>
              <w:pStyle w:val="Normal"/>
              <w:bidi w:val="0"/>
              <w:jc w:val="left"/>
              <w:rPr/>
            </w:pPr>
            <w:r>
              <w:rPr/>
            </w:r>
          </w:p>
        </w:tc>
        <w:tc>
          <w:tcPr>
            <w:tcW w:w="1992" w:type="dxa"/>
            <w:vMerge w:val="continue"/>
            <w:tcBorders/>
          </w:tcPr>
          <w:p>
            <w:pPr>
              <w:pStyle w:val="Normal"/>
              <w:bidi w:val="0"/>
              <w:jc w:val="left"/>
              <w:rPr/>
            </w:pPr>
            <w:r>
              <w:rPr/>
            </w:r>
          </w:p>
        </w:tc>
      </w:tr>
      <w:tr>
        <w:trPr>
          <w:trHeight w:val="570" w:hRule="atLeast"/>
        </w:trPr>
        <w:tc>
          <w:tcPr>
            <w:tcW w:w="345" w:type="dxa"/>
            <w:tcBorders/>
          </w:tcPr>
          <w:p>
            <w:pPr>
              <w:pStyle w:val="TableContents"/>
              <w:bidi w:val="0"/>
              <w:spacing w:before="0" w:after="283"/>
              <w:jc w:val="left"/>
              <w:rPr/>
            </w:pPr>
            <w:r>
              <w:rPr/>
              <w:drawing>
                <wp:inline distT="0" distB="0" distL="0" distR="0">
                  <wp:extent cx="142875" cy="1428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tc>
        <w:tc>
          <w:tcPr>
            <w:tcW w:w="7969" w:type="dxa"/>
            <w:gridSpan w:val="2"/>
            <w:tcBorders/>
          </w:tcPr>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3571"/>
        <w:gridCol w:w="3572"/>
        <w:gridCol w:w="3062"/>
      </w:tblGrid>
      <w:tr>
        <w:trPr/>
        <w:tc>
          <w:tcPr>
            <w:tcW w:w="3571" w:type="dxa"/>
            <w:vMerge w:val="restart"/>
            <w:tcBorders>
              <w:top w:val="single" w:sz="6" w:space="0" w:color="808080"/>
              <w:left w:val="single" w:sz="6" w:space="0" w:color="808080"/>
              <w:bottom w:val="single" w:sz="2"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1. Name and Address of Reporting Person</w:t>
            </w:r>
            <w:r>
              <w:rPr>
                <w:rFonts w:ascii="arial;helvetica;sans-serif" w:hAnsi="arial;helvetica;sans-serif"/>
                <w:position w:val="7"/>
                <w:sz w:val="16"/>
                <w:sz w:val="20"/>
              </w:rPr>
              <w:t>*</w:t>
            </w:r>
          </w:p>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pPr>
                  <w:hyperlink r:id="rId4">
                    <w:r>
                      <w:rPr>
                        <w:rStyle w:val="InternetLink"/>
                      </w:rPr>
                      <w:t>BLITZER MICHAEL</w:t>
                    </w:r>
                  </w:hyperlink>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(Last)</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(First)</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(Middle)</w:t>
                  </w:r>
                </w:p>
              </w:tc>
            </w:tr>
          </w:tbl>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100 W. AIRPORT ROAD</w:t>
                  </w:r>
                </w:p>
              </w:tc>
            </w:tr>
            <w:tr>
              <w:trPr/>
              <w:tc>
                <w:tcPr>
                  <w:tcW w:w="3451" w:type="dxa"/>
                  <w:tcBorders/>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p>
          <w:p>
            <w:pPr>
              <w:pStyle w:val="TableContents"/>
              <w:bidi w:val="0"/>
              <w:spacing w:before="0" w:after="0"/>
              <w:jc w:val="left"/>
              <w:rPr>
                <w:rFonts w:ascii="arial;helvetica;sans-serif" w:hAnsi="arial;helvetica;sans-serif"/>
                <w:sz w:val="20"/>
              </w:rPr>
            </w:pPr>
            <w:r>
              <w:rPr>
                <w:rFonts w:ascii="arial;helvetica;sans-serif" w:hAnsi="arial;helvetica;sans-serif"/>
                <w:sz w:val="20"/>
              </w:rPr>
              <w:t>(Street)</w:t>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STILLWATER</w:t>
                  </w:r>
                </w:p>
              </w:tc>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OK</w:t>
                  </w:r>
                </w:p>
              </w:tc>
              <w:tc>
                <w:tcPr>
                  <w:tcW w:w="11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74075</w:t>
                  </w:r>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(City)</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(State)</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(Zip)</w:t>
                  </w:r>
                </w:p>
              </w:tc>
            </w:tr>
          </w:tbl>
          <w:p>
            <w:pPr>
              <w:pStyle w:val="TableContents"/>
              <w:bidi w:val="0"/>
              <w:spacing w:before="0" w:after="283"/>
              <w:jc w:val="left"/>
              <w:rPr>
                <w:sz w:val="4"/>
                <w:szCs w:val="4"/>
              </w:rPr>
            </w:pPr>
            <w:r>
              <w:rPr>
                <w:sz w:val="4"/>
                <w:szCs w:val="4"/>
              </w:rPr>
            </w:r>
          </w:p>
        </w:tc>
        <w:tc>
          <w:tcPr>
            <w:tcW w:w="3572" w:type="dxa"/>
            <w:tcBorders>
              <w:top w:val="single" w:sz="6" w:space="0" w:color="808080"/>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 xml:space="preserve">2. Issuer Name </w:t>
            </w:r>
            <w:r>
              <w:rPr>
                <w:rFonts w:ascii="arial;helvetica;sans-serif" w:hAnsi="arial;helvetica;sans-serif"/>
                <w:b/>
                <w:sz w:val="20"/>
              </w:rPr>
              <w:t>and</w:t>
            </w:r>
            <w:r>
              <w:rPr>
                <w:rFonts w:ascii="arial;helvetica;sans-serif" w:hAnsi="arial;helvetica;sans-serif"/>
                <w:sz w:val="20"/>
              </w:rPr>
              <w:t xml:space="preserve"> Ticker or Trading Symbol </w:t>
            </w:r>
            <w:r>
              <w:rPr/>
              <w:br/>
            </w:r>
            <w:hyperlink r:id="rId5">
              <w:r>
                <w:rPr>
                  <w:rStyle w:val="InternetLink"/>
                </w:rPr>
                <w:t>USA Rare Earth, Inc.</w:t>
              </w:r>
            </w:hyperlink>
            <w:r>
              <w:rPr/>
              <w:t xml:space="preserve"> [ </w:t>
            </w:r>
            <w:r>
              <w:rPr>
                <w:rFonts w:ascii="Times;serif" w:hAnsi="Times;serif"/>
                <w:color w:val="0000FF"/>
                <w:sz w:val="24"/>
                <w:shd w:fill="FFFFFF" w:val="clear"/>
              </w:rPr>
              <w:t>USAR</w:t>
            </w:r>
            <w:r>
              <w:rPr/>
              <w:t xml:space="preserve"> ] </w:t>
              <w:br/>
            </w:r>
            <w:r>
              <w:rPr>
                <w:rFonts w:ascii="arial;helvetica;sans-serif" w:hAnsi="arial;helvetica;sans-serif"/>
                <w:sz w:val="20"/>
              </w:rPr>
              <w:t>Foreign Trading Symbol</w:t>
            </w:r>
          </w:p>
        </w:tc>
        <w:tc>
          <w:tcPr>
            <w:tcW w:w="3062" w:type="dxa"/>
            <w:vMerge w:val="restart"/>
            <w:tcBorders>
              <w:top w:val="single" w:sz="6" w:space="0" w:color="808080"/>
              <w:left w:val="single" w:sz="2" w:space="0" w:color="808080"/>
              <w:bottom w:val="single" w:sz="2" w:space="0" w:color="808080"/>
              <w:right w:val="single" w:sz="6" w:space="0" w:color="808080"/>
            </w:tcBorders>
          </w:tcPr>
          <w:p>
            <w:pPr>
              <w:pStyle w:val="TableContents"/>
              <w:bidi w:val="0"/>
              <w:spacing w:before="0" w:after="0"/>
              <w:jc w:val="left"/>
              <w:rPr/>
            </w:pPr>
            <w:r>
              <w:rPr>
                <w:rFonts w:ascii="arial;helvetica;sans-serif" w:hAnsi="arial;helvetica;sans-serif"/>
                <w:sz w:val="20"/>
              </w:rPr>
              <w:t xml:space="preserve">5. Relationship of Reporting Person(s) to Issuer </w:t>
            </w:r>
            <w:r>
              <w:rPr/>
              <w:br/>
            </w:r>
            <w:r>
              <w:rPr>
                <w:rFonts w:ascii="arial;helvetica;sans-serif" w:hAnsi="arial;helvetica;sans-serif"/>
                <w:sz w:val="20"/>
              </w:rPr>
              <w:t>(Check all applicable)</w:t>
            </w:r>
          </w:p>
          <w:tbl>
            <w:tblPr>
              <w:tblW w:w="5000" w:type="pct"/>
              <w:jc w:val="left"/>
              <w:tblInd w:w="0" w:type="dxa"/>
              <w:tblLayout w:type="fixed"/>
              <w:tblCellMar>
                <w:top w:w="28" w:type="dxa"/>
                <w:left w:w="28" w:type="dxa"/>
                <w:bottom w:w="28" w:type="dxa"/>
                <w:right w:w="28" w:type="dxa"/>
              </w:tblCellMar>
            </w:tblPr>
            <w:tblGrid>
              <w:gridCol w:w="440"/>
              <w:gridCol w:w="1031"/>
              <w:gridCol w:w="440"/>
              <w:gridCol w:w="1031"/>
            </w:tblGrid>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6"/>
                                <a:stretch>
                                  <a:fillRect/>
                                </a:stretch>
                              </pic:blipFill>
                              <pic:spPr bwMode="auto">
                                <a:xfrm>
                                  <a:off x="0" y="0"/>
                                  <a:ext cx="142875" cy="142875"/>
                                </a:xfrm>
                                <a:prstGeom prst="rect">
                                  <a:avLst/>
                                </a:prstGeom>
                              </pic:spPr>
                            </pic:pic>
                          </a:graphicData>
                        </a:graphic>
                      </wp:inline>
                    </w:drawing>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Director</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10% Owner</w:t>
                  </w:r>
                </w:p>
              </w:tc>
            </w:tr>
            <w:tr>
              <w:trPr/>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Officer (give title below)</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Other (specify below)</w:t>
                  </w:r>
                </w:p>
              </w:tc>
            </w:tr>
            <w:tr>
              <w:trPr/>
              <w:tc>
                <w:tcPr>
                  <w:tcW w:w="2942" w:type="dxa"/>
                  <w:gridSpan w:val="4"/>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r>
      <w:tr>
        <w:trPr/>
        <w:tc>
          <w:tcPr>
            <w:tcW w:w="3571"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3572" w:type="dxa"/>
            <w:tcBorders>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3. Date of Earliest Transaction (Month/Day/Year)</w:t>
            </w:r>
            <w:r>
              <w:rPr/>
              <w:br/>
            </w:r>
            <w:r>
              <w:rPr>
                <w:rFonts w:ascii="Times;serif" w:hAnsi="Times;serif"/>
                <w:color w:val="0000FF"/>
                <w:sz w:val="24"/>
                <w:shd w:fill="FFFFFF" w:val="clear"/>
              </w:rPr>
              <w:t>07/19/2026</w:t>
            </w:r>
          </w:p>
        </w:tc>
        <w:tc>
          <w:tcPr>
            <w:tcW w:w="3062"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3571"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3572" w:type="dxa"/>
            <w:tcBorders>
              <w:left w:val="single" w:sz="2" w:space="0" w:color="808080"/>
              <w:bottom w:val="single" w:sz="6" w:space="0" w:color="808080"/>
              <w:right w:val="single" w:sz="6" w:space="0" w:color="808080"/>
            </w:tcBorders>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4. If Amendment, Date of Original Filed (Month/Day/Year)</w:t>
            </w:r>
          </w:p>
        </w:tc>
        <w:tc>
          <w:tcPr>
            <w:tcW w:w="3062" w:type="dxa"/>
            <w:tcBorders>
              <w:left w:val="single" w:sz="2" w:space="0" w:color="808080"/>
              <w:bottom w:val="single" w:sz="6"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 xml:space="preserve">6. Individual or Joint/Group Filing (Check Applicable Line) </w:t>
            </w:r>
          </w:p>
          <w:tbl>
            <w:tblPr>
              <w:tblW w:w="5000" w:type="pct"/>
              <w:jc w:val="left"/>
              <w:tblInd w:w="0" w:type="dxa"/>
              <w:tblLayout w:type="fixed"/>
              <w:tblCellMar>
                <w:top w:w="28" w:type="dxa"/>
                <w:left w:w="28" w:type="dxa"/>
                <w:bottom w:w="28" w:type="dxa"/>
                <w:right w:w="28" w:type="dxa"/>
              </w:tblCellMar>
            </w:tblPr>
            <w:tblGrid>
              <w:gridCol w:w="440"/>
              <w:gridCol w:w="2502"/>
            </w:tblGrid>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7"/>
                                <a:stretch>
                                  <a:fillRect/>
                                </a:stretch>
                              </pic:blipFill>
                              <pic:spPr bwMode="auto">
                                <a:xfrm>
                                  <a:off x="0" y="0"/>
                                  <a:ext cx="142875" cy="142875"/>
                                </a:xfrm>
                                <a:prstGeom prst="rect">
                                  <a:avLst/>
                                </a:prstGeom>
                              </pic:spPr>
                            </pic:pic>
                          </a:graphicData>
                        </a:graphic>
                      </wp:inline>
                    </w:drawing>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One Reporting Person</w:t>
                  </w:r>
                </w:p>
              </w:tc>
            </w:tr>
            <w:tr>
              <w:trPr/>
              <w:tc>
                <w:tcPr>
                  <w:tcW w:w="440" w:type="dxa"/>
                  <w:tcBorders/>
                  <w:vAlign w:val="center"/>
                </w:tcPr>
                <w:p>
                  <w:pPr>
                    <w:pStyle w:val="TableContents"/>
                    <w:bidi w:val="0"/>
                    <w:spacing w:before="0" w:after="283"/>
                    <w:jc w:val="left"/>
                    <w:rPr>
                      <w:sz w:val="4"/>
                      <w:szCs w:val="4"/>
                    </w:rPr>
                  </w:pPr>
                  <w:r>
                    <w:rPr>
                      <w:sz w:val="4"/>
                      <w:szCs w:val="4"/>
                    </w:rPr>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More than One Reporting Person</w:t>
                  </w:r>
                </w:p>
              </w:tc>
            </w:tr>
          </w:tbl>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2478"/>
        <w:gridCol w:w="906"/>
        <w:gridCol w:w="774"/>
        <w:gridCol w:w="602"/>
        <w:gridCol w:w="355"/>
        <w:gridCol w:w="829"/>
        <w:gridCol w:w="473"/>
        <w:gridCol w:w="635"/>
        <w:gridCol w:w="1195"/>
        <w:gridCol w:w="1021"/>
        <w:gridCol w:w="937"/>
      </w:tblGrid>
      <w:tr>
        <w:trPr>
          <w:tblHeader w:val="true"/>
        </w:trPr>
        <w:tc>
          <w:tcPr>
            <w:tcW w:w="10205" w:type="dxa"/>
            <w:gridSpan w:val="11"/>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sz w:val="24"/>
              </w:rPr>
            </w:pPr>
            <w:r>
              <w:rPr>
                <w:rFonts w:ascii="arial;helvetica;sans-serif" w:hAnsi="arial;helvetica;sans-serif"/>
                <w:b/>
                <w:sz w:val="24"/>
              </w:rPr>
              <w:t>Table I - Non-Derivative Securities Acquired, Disposed of, or Beneficially Owned</w:t>
            </w:r>
          </w:p>
        </w:tc>
      </w:tr>
      <w:tr>
        <w:trPr>
          <w:tblHeader w:val="true"/>
        </w:trPr>
        <w:tc>
          <w:tcPr>
            <w:tcW w:w="2478"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1. Title of Security (Instr. 3) </w:t>
            </w:r>
          </w:p>
        </w:tc>
        <w:tc>
          <w:tcPr>
            <w:tcW w:w="90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 Transaction Date (Month/Day/Year)</w:t>
            </w:r>
          </w:p>
        </w:tc>
        <w:tc>
          <w:tcPr>
            <w:tcW w:w="774"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2A. Deemed Execution Date, if any (Month/Day/Year)</w:t>
            </w:r>
          </w:p>
        </w:tc>
        <w:tc>
          <w:tcPr>
            <w:tcW w:w="957"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3. Transaction Code (Instr. 8) </w:t>
            </w:r>
          </w:p>
        </w:tc>
        <w:tc>
          <w:tcPr>
            <w:tcW w:w="1937" w:type="dxa"/>
            <w:gridSpan w:val="3"/>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Securities Acquired (A) or Disposed Of (D) (Instr. 3, 4 and 5) </w:t>
            </w:r>
          </w:p>
        </w:tc>
        <w:tc>
          <w:tcPr>
            <w:tcW w:w="1195"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Amount of Securities Beneficially Owned Following Reported Transaction(s) (Instr. 3 and 4) </w:t>
            </w:r>
          </w:p>
        </w:tc>
        <w:tc>
          <w:tcPr>
            <w:tcW w:w="102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6. Ownership Form: Direct (D) or Indirect (I) (Instr. 4) </w:t>
            </w:r>
          </w:p>
        </w:tc>
        <w:tc>
          <w:tcPr>
            <w:tcW w:w="937"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Nature of Indirect Beneficial Ownership (Instr. 4) </w:t>
            </w:r>
          </w:p>
        </w:tc>
      </w:tr>
      <w:tr>
        <w:trPr>
          <w:tblHeader w:val="true"/>
        </w:trPr>
        <w:tc>
          <w:tcPr>
            <w:tcW w:w="2478"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906"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774"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602" w:type="dxa"/>
            <w:tcBorders>
              <w:left w:val="single" w:sz="2" w:space="0" w:color="808080"/>
              <w:bottom w:val="single" w:sz="6"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55" w:type="dxa"/>
            <w:tcBorders>
              <w:left w:val="single" w:sz="2" w:space="0" w:color="808080"/>
              <w:bottom w:val="single" w:sz="6"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829" w:type="dxa"/>
            <w:tcBorders>
              <w:left w:val="single" w:sz="2" w:space="0" w:color="808080"/>
              <w:bottom w:val="single" w:sz="6"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w:t>
            </w:r>
          </w:p>
        </w:tc>
        <w:tc>
          <w:tcPr>
            <w:tcW w:w="473" w:type="dxa"/>
            <w:tcBorders>
              <w:left w:val="single" w:sz="2" w:space="0" w:color="808080"/>
              <w:bottom w:val="single" w:sz="6"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 or (D)</w:t>
            </w:r>
          </w:p>
        </w:tc>
        <w:tc>
          <w:tcPr>
            <w:tcW w:w="635" w:type="dxa"/>
            <w:tcBorders>
              <w:left w:val="single" w:sz="2" w:space="0" w:color="808080"/>
              <w:bottom w:val="single" w:sz="6"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Price</w:t>
            </w:r>
          </w:p>
        </w:tc>
        <w:tc>
          <w:tcPr>
            <w:tcW w:w="1195"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102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937" w:type="dxa"/>
            <w:vMerge w:val="continue"/>
            <w:tcBorders>
              <w:left w:val="single" w:sz="2" w:space="0" w:color="808080"/>
              <w:bottom w:val="single" w:sz="6" w:space="0" w:color="808080"/>
              <w:right w:val="single" w:sz="6" w:space="0" w:color="808080"/>
            </w:tcBorders>
          </w:tcPr>
          <w:p>
            <w:pPr>
              <w:pStyle w:val="Normal"/>
              <w:bidi w:val="0"/>
              <w:jc w:val="left"/>
              <w:rPr/>
            </w:pPr>
            <w:r>
              <w:rPr/>
            </w:r>
          </w:p>
        </w:tc>
      </w:tr>
    </w:tbl>
    <w:tbl>
      <w:tblPr>
        <w:tblW w:w="12479" w:type="dxa"/>
        <w:jc w:val="left"/>
        <w:tblInd w:w="-7" w:type="dxa"/>
        <w:tblLayout w:type="fixed"/>
        <w:tblCellMar>
          <w:top w:w="60" w:type="dxa"/>
          <w:left w:w="60" w:type="dxa"/>
          <w:bottom w:w="60" w:type="dxa"/>
          <w:right w:w="60" w:type="dxa"/>
        </w:tblCellMar>
      </w:tblPr>
      <w:tblGrid>
        <w:gridCol w:w="980"/>
        <w:gridCol w:w="861"/>
        <w:gridCol w:w="891"/>
        <w:gridCol w:w="771"/>
        <w:gridCol w:w="591"/>
        <w:gridCol w:w="300"/>
        <w:gridCol w:w="876"/>
        <w:gridCol w:w="276"/>
        <w:gridCol w:w="906"/>
        <w:gridCol w:w="801"/>
        <w:gridCol w:w="891"/>
        <w:gridCol w:w="921"/>
        <w:gridCol w:w="801"/>
        <w:gridCol w:w="936"/>
        <w:gridCol w:w="831"/>
        <w:gridCol w:w="846"/>
      </w:tblGrid>
      <w:tr>
        <w:trPr>
          <w:tblHeader w:val="true"/>
        </w:trPr>
        <w:tc>
          <w:tcPr>
            <w:tcW w:w="12479" w:type="dxa"/>
            <w:gridSpan w:val="16"/>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val="false"/>
                <w:sz w:val="24"/>
              </w:rPr>
            </w:pPr>
            <w:r>
              <w:rPr>
                <w:rFonts w:ascii="arial;helvetica;sans-serif" w:hAnsi="arial;helvetica;sans-serif"/>
                <w:b/>
                <w:sz w:val="24"/>
              </w:rPr>
              <w:t>Table II - Derivative Securities Acquired, Disposed of, or Beneficially Owned</w:t>
            </w:r>
            <w:r>
              <w:rPr>
                <w:rFonts w:ascii="arial;helvetica;sans-serif" w:hAnsi="arial;helvetica;sans-serif"/>
                <w:b w:val="false"/>
                <w:sz w:val="24"/>
              </w:rPr>
              <w:br/>
            </w:r>
            <w:r>
              <w:rPr>
                <w:rFonts w:ascii="arial;helvetica;sans-serif" w:hAnsi="arial;helvetica;sans-serif"/>
                <w:b/>
                <w:sz w:val="24"/>
              </w:rPr>
              <w:t>(e.g., puts, calls, warrants, options, convertible securities)</w:t>
            </w:r>
          </w:p>
        </w:tc>
      </w:tr>
      <w:tr>
        <w:trPr>
          <w:tblHeader w:val="true"/>
        </w:trPr>
        <w:tc>
          <w:tcPr>
            <w:tcW w:w="980"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 Title of Derivative Security (Instr. 3) </w:t>
            </w:r>
          </w:p>
        </w:tc>
        <w:tc>
          <w:tcPr>
            <w:tcW w:w="86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2. Conversion or Exercise Price of Derivative Security </w:t>
            </w:r>
          </w:p>
        </w:tc>
        <w:tc>
          <w:tcPr>
            <w:tcW w:w="89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 Transaction Date (Month/Day/Year)</w:t>
            </w:r>
          </w:p>
        </w:tc>
        <w:tc>
          <w:tcPr>
            <w:tcW w:w="77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3A. Deemed Execution Date, if any (Month/Day/Year)</w:t>
            </w:r>
          </w:p>
        </w:tc>
        <w:tc>
          <w:tcPr>
            <w:tcW w:w="89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Transaction Code (Instr. 8) </w:t>
            </w:r>
          </w:p>
        </w:tc>
        <w:tc>
          <w:tcPr>
            <w:tcW w:w="1152"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Number of Derivative Securities Acquired (A) or Disposed of (D) (Instr. 3, 4 and 5) </w:t>
            </w:r>
          </w:p>
        </w:tc>
        <w:tc>
          <w:tcPr>
            <w:tcW w:w="1707"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6. Date Exercisable and Expiration Date (Month/Day/Year)</w:t>
            </w:r>
          </w:p>
        </w:tc>
        <w:tc>
          <w:tcPr>
            <w:tcW w:w="1812"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Title and Amount of Securities Underlying Derivative Security (Instr. 3 and 4) </w:t>
            </w:r>
          </w:p>
        </w:tc>
        <w:tc>
          <w:tcPr>
            <w:tcW w:w="80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8. Price of Derivative Security (Instr. 5) </w:t>
            </w:r>
          </w:p>
        </w:tc>
        <w:tc>
          <w:tcPr>
            <w:tcW w:w="93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9. Number of derivative Securities Beneficially Owned Following Reported Transaction(s) (Instr. 4) </w:t>
            </w:r>
          </w:p>
        </w:tc>
        <w:tc>
          <w:tcPr>
            <w:tcW w:w="83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10. Ownership Form: Direct (D) or Indirect (I) (Instr. 4) </w:t>
            </w:r>
          </w:p>
        </w:tc>
        <w:tc>
          <w:tcPr>
            <w:tcW w:w="84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11. Nature of Indirect Beneficial Ownership (Instr. 4) </w:t>
            </w:r>
          </w:p>
        </w:tc>
      </w:tr>
      <w:tr>
        <w:trPr>
          <w:tblHeader w:val="true"/>
        </w:trPr>
        <w:tc>
          <w:tcPr>
            <w:tcW w:w="980"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86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89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77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59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00"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876"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w:t>
            </w:r>
          </w:p>
        </w:tc>
        <w:tc>
          <w:tcPr>
            <w:tcW w:w="276"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w:t>
            </w:r>
          </w:p>
        </w:tc>
        <w:tc>
          <w:tcPr>
            <w:tcW w:w="906"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Date Exercisable</w:t>
            </w:r>
          </w:p>
        </w:tc>
        <w:tc>
          <w:tcPr>
            <w:tcW w:w="80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Expiration Date</w:t>
            </w:r>
          </w:p>
        </w:tc>
        <w:tc>
          <w:tcPr>
            <w:tcW w:w="89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Title</w:t>
            </w:r>
          </w:p>
        </w:tc>
        <w:tc>
          <w:tcPr>
            <w:tcW w:w="92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 or Number of Shares</w:t>
            </w:r>
          </w:p>
        </w:tc>
        <w:tc>
          <w:tcPr>
            <w:tcW w:w="80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36"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83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846"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980"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0"/>
                <w:shd w:fill="FFFFFF" w:val="clear"/>
              </w:rPr>
            </w:pPr>
            <w:r>
              <w:rPr>
                <w:rFonts w:ascii="Times;serif" w:hAnsi="Times;serif"/>
                <w:color w:val="0000FF"/>
                <w:sz w:val="20"/>
                <w:shd w:fill="FFFFFF" w:val="clear"/>
              </w:rPr>
              <w:t>Restricted Stock Units</w:t>
            </w:r>
          </w:p>
        </w:tc>
        <w:tc>
          <w:tcPr>
            <w:tcW w:w="86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(1)</w:t>
            </w:r>
          </w:p>
        </w:tc>
        <w:tc>
          <w:tcPr>
            <w:tcW w:w="89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07/19/2026</w:t>
            </w:r>
          </w:p>
        </w:tc>
        <w:tc>
          <w:tcPr>
            <w:tcW w:w="77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9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A</w:t>
            </w:r>
          </w:p>
        </w:tc>
        <w:tc>
          <w:tcPr>
            <w:tcW w:w="300"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87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pPr>
            <w:r>
              <w:rPr>
                <w:rFonts w:ascii="Times;serif" w:hAnsi="Times;serif"/>
                <w:color w:val="0000FF"/>
                <w:sz w:val="20"/>
                <w:shd w:fill="FFFFFF" w:val="clear"/>
              </w:rPr>
              <w:t>133,353</w:t>
            </w:r>
            <w:r>
              <w:rPr>
                <w:rFonts w:ascii="Times;serif" w:hAnsi="Times;serif"/>
                <w:color w:val="008000"/>
                <w:position w:val="7"/>
                <w:sz w:val="16"/>
                <w:sz w:val="20"/>
                <w:shd w:fill="FFFFFF" w:val="clear"/>
              </w:rPr>
              <w:t>(2)</w:t>
            </w:r>
          </w:p>
        </w:tc>
        <w:tc>
          <w:tcPr>
            <w:tcW w:w="276"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0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(1)</w:t>
            </w:r>
          </w:p>
        </w:tc>
        <w:tc>
          <w:tcPr>
            <w:tcW w:w="80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(1)</w:t>
            </w:r>
          </w:p>
        </w:tc>
        <w:tc>
          <w:tcPr>
            <w:tcW w:w="89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Common Stock, par value $0.0001 per share</w:t>
            </w:r>
          </w:p>
        </w:tc>
        <w:tc>
          <w:tcPr>
            <w:tcW w:w="92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133,353</w:t>
            </w:r>
          </w:p>
        </w:tc>
        <w:tc>
          <w:tcPr>
            <w:tcW w:w="80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sz w:val="14"/>
              </w:rPr>
              <w:t>$</w:t>
            </w:r>
            <w:r>
              <w:rPr>
                <w:rFonts w:ascii="Times;serif" w:hAnsi="Times;serif"/>
                <w:color w:val="0000FF"/>
                <w:sz w:val="20"/>
                <w:shd w:fill="FFFFFF" w:val="clear"/>
              </w:rPr>
              <w:t>0</w:t>
            </w:r>
          </w:p>
        </w:tc>
        <w:tc>
          <w:tcPr>
            <w:tcW w:w="93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133,353</w:t>
            </w:r>
          </w:p>
        </w:tc>
        <w:tc>
          <w:tcPr>
            <w:tcW w:w="83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D</w:t>
            </w:r>
          </w:p>
        </w:tc>
        <w:tc>
          <w:tcPr>
            <w:tcW w:w="846"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r>
      <w:tr>
        <w:trPr/>
        <w:tc>
          <w:tcPr>
            <w:tcW w:w="980" w:type="dxa"/>
            <w:tcBorders>
              <w:left w:val="single" w:sz="6" w:space="0" w:color="808080"/>
              <w:bottom w:val="single" w:sz="6" w:space="0" w:color="808080"/>
              <w:right w:val="single" w:sz="6" w:space="0" w:color="808080"/>
            </w:tcBorders>
            <w:vAlign w:val="center"/>
          </w:tcPr>
          <w:p>
            <w:pPr>
              <w:pStyle w:val="TableContents"/>
              <w:bidi w:val="0"/>
              <w:spacing w:before="0" w:after="283"/>
              <w:jc w:val="left"/>
              <w:rPr>
                <w:rFonts w:ascii="Times;serif" w:hAnsi="Times;serif"/>
                <w:color w:val="0000FF"/>
                <w:sz w:val="20"/>
                <w:shd w:fill="FFFFFF" w:val="clear"/>
              </w:rPr>
            </w:pPr>
            <w:r>
              <w:rPr>
                <w:rFonts w:ascii="Times;serif" w:hAnsi="Times;serif"/>
                <w:color w:val="0000FF"/>
                <w:sz w:val="20"/>
                <w:shd w:fill="FFFFFF" w:val="clear"/>
              </w:rPr>
              <w:t>Restricted Stock Units</w:t>
            </w:r>
          </w:p>
        </w:tc>
        <w:tc>
          <w:tcPr>
            <w:tcW w:w="86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(1)</w:t>
            </w:r>
          </w:p>
        </w:tc>
        <w:tc>
          <w:tcPr>
            <w:tcW w:w="89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07/19/2026</w:t>
            </w:r>
          </w:p>
        </w:tc>
        <w:tc>
          <w:tcPr>
            <w:tcW w:w="77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9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A</w:t>
            </w:r>
          </w:p>
        </w:tc>
        <w:tc>
          <w:tcPr>
            <w:tcW w:w="300"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87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pPr>
            <w:r>
              <w:rPr>
                <w:rFonts w:ascii="Times;serif" w:hAnsi="Times;serif"/>
                <w:color w:val="0000FF"/>
                <w:sz w:val="20"/>
                <w:shd w:fill="FFFFFF" w:val="clear"/>
              </w:rPr>
              <w:t>31,427</w:t>
            </w:r>
            <w:r>
              <w:rPr>
                <w:rFonts w:ascii="Times;serif" w:hAnsi="Times;serif"/>
                <w:color w:val="008000"/>
                <w:position w:val="7"/>
                <w:sz w:val="16"/>
                <w:sz w:val="20"/>
                <w:shd w:fill="FFFFFF" w:val="clear"/>
              </w:rPr>
              <w:t>(2)</w:t>
            </w:r>
          </w:p>
        </w:tc>
        <w:tc>
          <w:tcPr>
            <w:tcW w:w="276"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0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(1)</w:t>
            </w:r>
          </w:p>
        </w:tc>
        <w:tc>
          <w:tcPr>
            <w:tcW w:w="80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(1)</w:t>
            </w:r>
          </w:p>
        </w:tc>
        <w:tc>
          <w:tcPr>
            <w:tcW w:w="89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Common Stock, par value $0.0001 per share</w:t>
            </w:r>
          </w:p>
        </w:tc>
        <w:tc>
          <w:tcPr>
            <w:tcW w:w="92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31,427</w:t>
            </w:r>
          </w:p>
        </w:tc>
        <w:tc>
          <w:tcPr>
            <w:tcW w:w="80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pPr>
            <w:r>
              <w:rPr>
                <w:rFonts w:ascii="arial;helvetica;sans-serif" w:hAnsi="arial;helvetica;sans-serif"/>
                <w:sz w:val="14"/>
              </w:rPr>
              <w:t>$</w:t>
            </w:r>
            <w:r>
              <w:rPr>
                <w:rFonts w:ascii="Times;serif" w:hAnsi="Times;serif"/>
                <w:color w:val="0000FF"/>
                <w:sz w:val="20"/>
                <w:shd w:fill="FFFFFF" w:val="clear"/>
              </w:rPr>
              <w:t>0</w:t>
            </w:r>
          </w:p>
        </w:tc>
        <w:tc>
          <w:tcPr>
            <w:tcW w:w="93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31,427</w:t>
            </w:r>
          </w:p>
        </w:tc>
        <w:tc>
          <w:tcPr>
            <w:tcW w:w="83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D</w:t>
            </w:r>
          </w:p>
        </w:tc>
        <w:tc>
          <w:tcPr>
            <w:tcW w:w="846"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r>
    </w:tbl>
    <w:tbl>
      <w:tblPr>
        <w:tblW w:w="5000" w:type="pct"/>
        <w:jc w:val="left"/>
        <w:tblInd w:w="0" w:type="dxa"/>
        <w:tblLayout w:type="fixed"/>
        <w:tblCellMar>
          <w:top w:w="28" w:type="dxa"/>
          <w:left w:w="28" w:type="dxa"/>
          <w:bottom w:w="28" w:type="dxa"/>
          <w:right w:w="28" w:type="dxa"/>
        </w:tblCellMar>
      </w:tblPr>
      <w:tblGrid>
        <w:gridCol w:w="10205"/>
      </w:tblGrid>
      <w:tr>
        <w:trPr/>
        <w:tc>
          <w:tcPr>
            <w:tcW w:w="10205" w:type="dxa"/>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Explanation of Responses:</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1. The restricted stock units ("RSU") vest in three equal tranches on each of the first, second, and third anniversaries of the grant date, subject to acceleration upon termination of the reporting person's position as the Issuer's Executive Chair in certain circumstances and death or disability.</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2. Each RSU represents the right to receive, at settlement, one (1) share of the Issuer's common stock, and settlement into shares of the Issuer's common stock has been deferred until the reporting person's separation from service.</w:t>
            </w:r>
          </w:p>
        </w:tc>
      </w:tr>
      <w:tr>
        <w:trPr/>
        <w:tc>
          <w:tcPr>
            <w:tcW w:w="10205" w:type="dxa"/>
            <w:tcBorders/>
            <w:vAlign w:val="center"/>
          </w:tcPr>
          <w:p>
            <w:pPr>
              <w:pStyle w:val="TableContents"/>
              <w:bidi w:val="0"/>
              <w:spacing w:before="0" w:after="283"/>
              <w:jc w:val="left"/>
              <w:rPr>
                <w:rFonts w:ascii="arial;helvetica;sans-serif" w:hAnsi="arial;helvetica;sans-serif"/>
                <w:b/>
                <w:sz w:val="24"/>
              </w:rPr>
            </w:pPr>
            <w:r>
              <w:rPr>
                <w:rFonts w:ascii="arial;helvetica;sans-serif" w:hAnsi="arial;helvetica;sans-serif"/>
                <w:b/>
                <w:sz w:val="24"/>
              </w:rPr>
              <w:t>Remarks:</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Exhibit 24</w:t>
            </w:r>
          </w:p>
        </w:tc>
      </w:tr>
    </w:tbl>
    <w:tbl>
      <w:tblPr>
        <w:tblW w:w="5000" w:type="pct"/>
        <w:jc w:val="left"/>
        <w:tblInd w:w="0" w:type="dxa"/>
        <w:tblLayout w:type="fixed"/>
        <w:tblCellMar>
          <w:top w:w="28" w:type="dxa"/>
          <w:left w:w="28" w:type="dxa"/>
          <w:bottom w:w="28" w:type="dxa"/>
          <w:right w:w="28" w:type="dxa"/>
        </w:tblCellMar>
      </w:tblPr>
      <w:tblGrid>
        <w:gridCol w:w="6123"/>
        <w:gridCol w:w="2041"/>
        <w:gridCol w:w="2041"/>
      </w:tblGrid>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/s/ Derek Ching, attorney-in-fact for Michael Blitzer</w:t>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07/20/2026</w:t>
            </w:r>
          </w:p>
        </w:tc>
      </w:tr>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Signature of Reporting Person</w:t>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Date</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Reminder: Report on a separate line for each class of securities beneficially owned directly or indirectly.</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If the form is filed by more than one reporting person, </w:t>
            </w:r>
            <w:r>
              <w:rPr>
                <w:rFonts w:ascii="arial;helvetica;sans-serif" w:hAnsi="arial;helvetica;sans-serif"/>
                <w:i/>
                <w:sz w:val="20"/>
              </w:rPr>
              <w:t>see</w:t>
            </w:r>
            <w:r>
              <w:rPr>
                <w:rFonts w:ascii="arial;helvetica;sans-serif" w:hAnsi="arial;helvetica;sans-serif"/>
                <w:sz w:val="20"/>
              </w:rPr>
              <w:t xml:space="preserve"> Instruction 4 (b)(v).</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Intentional misstatements or omissions of facts constitute Federal Criminal Violations </w:t>
            </w:r>
            <w:r>
              <w:rPr>
                <w:rFonts w:ascii="arial;helvetica;sans-serif" w:hAnsi="arial;helvetica;sans-serif"/>
                <w:i/>
                <w:sz w:val="20"/>
              </w:rPr>
              <w:t>See</w:t>
            </w:r>
            <w:r>
              <w:rPr>
                <w:rFonts w:ascii="arial;helvetica;sans-serif" w:hAnsi="arial;helvetica;sans-serif"/>
                <w:sz w:val="20"/>
              </w:rPr>
              <w:t xml:space="preserve"> 18 U.S.C. 1001 and 15 U.S.C. 78ff(a).</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Note: File three copies of this Form, one of which must be manually signed. If space is insufficient, </w:t>
            </w:r>
            <w:r>
              <w:rPr>
                <w:rFonts w:ascii="arial;helvetica;sans-serif" w:hAnsi="arial;helvetica;sans-serif"/>
                <w:i/>
                <w:sz w:val="20"/>
              </w:rPr>
              <w:t>see</w:t>
            </w:r>
            <w:r>
              <w:rPr>
                <w:rFonts w:ascii="arial;helvetica;sans-serif" w:hAnsi="arial;helvetica;sans-serif"/>
                <w:sz w:val="20"/>
              </w:rPr>
              <w:t xml:space="preserve"> Instruction 6 for procedure.</w:t>
            </w:r>
          </w:p>
        </w:tc>
      </w:tr>
      <w:tr>
        <w:trPr/>
        <w:tc>
          <w:tcPr>
            <w:tcW w:w="10205" w:type="dxa"/>
            <w:gridSpan w:val="3"/>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Persons who respond to the collection of information contained in this form are not required to respond unless the form displays a currently valid OMB Number.</w:t>
            </w:r>
          </w:p>
        </w:tc>
      </w:tr>
    </w:tbl>
    <w:p>
      <w:pPr>
        <w:pStyle w:val="TextBody"/>
        <w:bidi w:val="0"/>
        <w:jc w:val="left"/>
        <w:rPr/>
      </w:pPr>
      <w:r>
        <w:rPr/>
      </w:r>
      <w:r>
        <w:br w:type="page"/>
      </w:r>
    </w:p>
    <w:p>
      <w:pPr>
        <w:sectPr>
          <w:type w:val="nextPage"/>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right"/>
        <w:rPr/>
      </w:pPr>
      <w:r>
        <w:rPr/>
      </w:r>
    </w:p>
    <w:p>
      <w:pPr>
        <w:pStyle w:val="TextBody"/>
        <w:bidi w:val="0"/>
        <w:spacing w:before="0" w:after="0"/>
        <w:jc w:val="right"/>
        <w:rPr/>
      </w:pPr>
      <w:r>
        <w:rPr/>
      </w:r>
    </w:p>
    <w:p>
      <w:pPr>
        <w:pStyle w:val="TextBody"/>
        <w:bidi w:val="0"/>
        <w:spacing w:lineRule="auto" w:line="288" w:before="0" w:after="0"/>
        <w:jc w:val="right"/>
        <w:rPr>
          <w:rFonts w:ascii="Arial;sans-serif" w:hAnsi="Arial;sans-serif"/>
          <w:b/>
          <w:color w:val="000000"/>
          <w:sz w:val="20"/>
        </w:rPr>
      </w:pPr>
      <w:r>
        <w:rPr>
          <w:rFonts w:ascii="Arial;sans-serif" w:hAnsi="Arial;sans-serif"/>
          <w:b/>
          <w:color w:val="000000"/>
          <w:sz w:val="20"/>
        </w:rPr>
        <w:t>Exhibit 24</w:t>
      </w:r>
    </w:p>
    <w:p>
      <w:pPr>
        <w:pStyle w:val="TextBody"/>
        <w:bidi w:val="0"/>
        <w:spacing w:lineRule="auto" w:line="288" w:before="0" w:after="0"/>
        <w:jc w:val="center"/>
        <w:rPr>
          <w:rFonts w:ascii="Arial Narrow;sans-serif" w:hAnsi="Arial Narrow;sans-serif"/>
          <w:b/>
          <w:color w:val="000000"/>
          <w:sz w:val="20"/>
        </w:rPr>
      </w:pPr>
      <w:r>
        <w:rPr>
          <w:rFonts w:ascii="Arial Narrow;sans-serif" w:hAnsi="Arial Narrow;sans-serif"/>
          <w:b/>
          <w:color w:val="000000"/>
          <w:sz w:val="20"/>
        </w:rPr>
        <w:t>POWER OF ATTORNEY</w:t>
      </w:r>
    </w:p>
    <w:p>
      <w:pPr>
        <w:pStyle w:val="TextBody"/>
        <w:bidi w:val="0"/>
        <w:spacing w:lineRule="auto" w:line="288" w:before="0" w:after="0"/>
        <w:jc w:val="center"/>
        <w:rPr>
          <w:rFonts w:ascii="Arial Narrow;sans-serif" w:hAnsi="Arial Narrow;sans-serif"/>
          <w:b/>
          <w:color w:val="000000"/>
          <w:sz w:val="20"/>
        </w:rPr>
      </w:pPr>
      <w:r>
        <w:rPr>
          <w:rFonts w:ascii="Arial Narrow;sans-serif" w:hAnsi="Arial Narrow;sans-serif"/>
          <w:b/>
          <w:color w:val="000000"/>
          <w:sz w:val="20"/>
        </w:rPr>
        <w:t>FOR EXECUTING FORM 3, FORM 4,</w:t>
      </w:r>
    </w:p>
    <w:p>
      <w:pPr>
        <w:pStyle w:val="TextBody"/>
        <w:bidi w:val="0"/>
        <w:spacing w:lineRule="auto" w:line="288" w:before="0" w:after="0"/>
        <w:jc w:val="center"/>
        <w:rPr>
          <w:rFonts w:ascii="Arial Narrow;sans-serif" w:hAnsi="Arial Narrow;sans-serif"/>
          <w:b/>
          <w:color w:val="000000"/>
          <w:sz w:val="20"/>
        </w:rPr>
      </w:pPr>
      <w:r>
        <w:rPr>
          <w:rFonts w:ascii="Arial Narrow;sans-serif" w:hAnsi="Arial Narrow;sans-serif"/>
          <w:b/>
          <w:color w:val="000000"/>
          <w:sz w:val="20"/>
        </w:rPr>
        <w:t>FORM 5 AND FORM 144</w:t>
      </w:r>
    </w:p>
    <w:p>
      <w:pPr>
        <w:pStyle w:val="TextBody"/>
        <w:bidi w:val="0"/>
        <w:spacing w:before="0" w:after="0"/>
        <w:jc w:val="left"/>
        <w:rPr/>
      </w:pPr>
      <w:r>
        <w:rPr/>
      </w:r>
    </w:p>
    <w:p>
      <w:pPr>
        <w:pStyle w:val="TextBody"/>
        <w:bidi w:val="0"/>
        <w:spacing w:lineRule="auto" w:line="288" w:before="0" w:after="0"/>
        <w:jc w:val="both"/>
        <w:rPr>
          <w:rFonts w:ascii="Arial Narrow;sans-serif" w:hAnsi="Arial Narrow;sans-serif"/>
          <w:b w:val="false"/>
          <w:color w:val="000000"/>
          <w:sz w:val="20"/>
        </w:rPr>
      </w:pPr>
      <w:r>
        <w:rPr>
          <w:rFonts w:ascii="Arial Narrow;sans-serif" w:hAnsi="Arial Narrow;sans-serif"/>
          <w:b w:val="false"/>
          <w:color w:val="000000"/>
          <w:sz w:val="20"/>
        </w:rPr>
        <w:t>The undersigned does hereby constitute and appoint W. Robert Steele, Jr., Valerie Jacob, David Kronenfeld, Derek Ching and Ana Fernandez Cortez as the undersigned’s true and lawful attorneys-in-fact to, as applicable:</w:t>
      </w:r>
    </w:p>
    <w:p>
      <w:pPr>
        <w:pStyle w:val="TextBody"/>
        <w:bidi w:val="0"/>
        <w:spacing w:before="0" w:after="0"/>
        <w:jc w:val="both"/>
        <w:rPr/>
      </w:pPr>
      <w:r>
        <w:rPr/>
      </w:r>
    </w:p>
    <w:p>
      <w:pPr>
        <w:pStyle w:val="TextBody"/>
        <w:bidi w:val="0"/>
        <w:spacing w:lineRule="auto" w:line="288" w:before="0" w:after="60"/>
        <w:ind w:left="0" w:right="0" w:hanging="360"/>
        <w:jc w:val="both"/>
        <w:rPr>
          <w:rFonts w:ascii="Arial Narrow;sans-serif" w:hAnsi="Arial Narrow;sans-serif"/>
          <w:b w:val="false"/>
          <w:color w:val="000000"/>
          <w:sz w:val="20"/>
        </w:rPr>
      </w:pPr>
      <w:r>
        <w:rPr>
          <w:rFonts w:ascii="Arial Narrow;sans-serif" w:hAnsi="Arial Narrow;sans-serif"/>
          <w:b w:val="false"/>
          <w:color w:val="000000"/>
          <w:sz w:val="20"/>
        </w:rPr>
        <w:t>(1)execute for and on behalf of the undersigned, in the undersigned’s capacity as an officer or director of USA Rare Earth, Inc. (the “Company”), and submit to the U.S. Securities and Exchange Commission (“SEC”) a Form ID, including amendments thereto, and any other documents necessary or appropriate to obtain codes and passwords enabling the undersigned to make electronic filings with the SEC of reports required by Section 16(a) of the Securities Exchange Act of 1934 (the “Exchange Act”) and the rules thereunder and any amendments to the foregoing;</w:t>
      </w:r>
    </w:p>
    <w:p>
      <w:pPr>
        <w:pStyle w:val="TextBody"/>
        <w:bidi w:val="0"/>
        <w:spacing w:lineRule="auto" w:line="288" w:before="0" w:after="60"/>
        <w:ind w:left="0" w:right="0" w:hanging="360"/>
        <w:jc w:val="both"/>
        <w:rPr>
          <w:rFonts w:ascii="Arial Narrow;sans-serif" w:hAnsi="Arial Narrow;sans-serif"/>
          <w:b w:val="false"/>
          <w:color w:val="000000"/>
          <w:sz w:val="20"/>
        </w:rPr>
      </w:pPr>
      <w:r>
        <w:rPr>
          <w:rFonts w:ascii="Arial Narrow;sans-serif" w:hAnsi="Arial Narrow;sans-serif"/>
          <w:b w:val="false"/>
          <w:color w:val="000000"/>
          <w:sz w:val="20"/>
        </w:rPr>
        <w:t>(2)execute for and on behalf of the undersigned, in the undersigned’s capacity as an officer or director of the Company, Forms 3, 4 and 5 in accordance with Section 16(a) of the Exchange Act and the rules thereunder and any amendments to the foregoing;</w:t>
      </w:r>
    </w:p>
    <w:p>
      <w:pPr>
        <w:pStyle w:val="TextBody"/>
        <w:bidi w:val="0"/>
        <w:spacing w:lineRule="auto" w:line="288" w:before="0" w:after="60"/>
        <w:ind w:left="0" w:right="0" w:hanging="360"/>
        <w:jc w:val="both"/>
        <w:rPr>
          <w:rFonts w:ascii="Arial Narrow;sans-serif" w:hAnsi="Arial Narrow;sans-serif"/>
          <w:b w:val="false"/>
          <w:color w:val="000000"/>
          <w:sz w:val="20"/>
        </w:rPr>
      </w:pPr>
      <w:r>
        <w:rPr>
          <w:rFonts w:ascii="Arial Narrow;sans-serif" w:hAnsi="Arial Narrow;sans-serif"/>
          <w:b w:val="false"/>
          <w:color w:val="000000"/>
          <w:sz w:val="20"/>
        </w:rPr>
        <w:t>(3)do and perform any and all acts for and on behalf of the undersigned which may be necessary or desirable to complete and execute any such Forms 3, 4 or 5, complete and execute any amendment or amendments thereto, and timely file such form with the SEC and any stock exchange or similar authority; and</w:t>
      </w:r>
    </w:p>
    <w:p>
      <w:pPr>
        <w:pStyle w:val="TextBody"/>
        <w:bidi w:val="0"/>
        <w:spacing w:lineRule="auto" w:line="288" w:before="0" w:after="0"/>
        <w:ind w:left="0" w:right="0" w:hanging="360"/>
        <w:jc w:val="both"/>
        <w:rPr>
          <w:rFonts w:ascii="Arial Narrow;sans-serif" w:hAnsi="Arial Narrow;sans-serif"/>
          <w:b w:val="false"/>
          <w:color w:val="000000"/>
          <w:sz w:val="20"/>
        </w:rPr>
      </w:pPr>
      <w:r>
        <w:rPr>
          <w:rFonts w:ascii="Arial Narrow;sans-serif" w:hAnsi="Arial Narrow;sans-serif"/>
          <w:b w:val="false"/>
          <w:color w:val="000000"/>
          <w:sz w:val="20"/>
        </w:rPr>
        <w:t>(4)take any other action of any type whatsoever in connection with the foregoing which, in the opinion of such attorney-in-fact, may be of benefit to, in the best interest of, or legally required by, the undersigned, it being understood that the documents executed by such attorney-in-fact on behalf of the undersigned pursuant to this Power of Attorney shall be in such form and shall contain such terms and conditions as such attorney-in-fact may approve to such attorney-in-fact’s discretion.</w:t>
      </w:r>
    </w:p>
    <w:p>
      <w:pPr>
        <w:pStyle w:val="TextBody"/>
        <w:bidi w:val="0"/>
        <w:spacing w:before="0" w:after="0"/>
        <w:jc w:val="both"/>
        <w:rPr/>
      </w:pPr>
      <w:r>
        <w:rPr/>
      </w:r>
    </w:p>
    <w:p>
      <w:pPr>
        <w:pStyle w:val="TextBody"/>
        <w:bidi w:val="0"/>
        <w:spacing w:lineRule="auto" w:line="288" w:before="0" w:after="0"/>
        <w:jc w:val="both"/>
        <w:rPr>
          <w:rFonts w:ascii="Arial Narrow;sans-serif" w:hAnsi="Arial Narrow;sans-serif"/>
          <w:b w:val="false"/>
          <w:color w:val="000000"/>
          <w:sz w:val="20"/>
        </w:rPr>
      </w:pPr>
      <w:r>
        <w:rPr>
          <w:rFonts w:ascii="Arial Narrow;sans-serif" w:hAnsi="Arial Narrow;sans-serif"/>
          <w:b w:val="false"/>
          <w:color w:val="000000"/>
          <w:sz w:val="20"/>
        </w:rPr>
        <w:t>The undersigned hereby grants to each such attorney-in-fact full power and authority to do and perform any and every act and thing whatsoever requisite, necessary, or proper to be done in the exercise of any of the rights and powers herein granted, as fully to all intents and purposes as the undersigned might or could do if personally present, with full power of substitution or revocation, hereby ratifying and confirming all that such attorney-in-fact, or such attorney-in-fact’s substitute or substitutes, shall lawfully do or cause to be done by virtue of this Power of Attorney and the rights and powers herein granted. The undersigned acknowledges that the foregoing attorneys-in-fact, in serving in such capacity at the request of the undersigned, are not assuming, nor is the Company assuming, any of the undersigned’s responsibilities to comply with Section 16 of the Exchange Act.</w:t>
      </w:r>
    </w:p>
    <w:p>
      <w:pPr>
        <w:pStyle w:val="TextBody"/>
        <w:bidi w:val="0"/>
        <w:spacing w:before="0" w:after="0"/>
        <w:jc w:val="both"/>
        <w:rPr/>
      </w:pPr>
      <w:r>
        <w:rPr/>
      </w:r>
    </w:p>
    <w:p>
      <w:pPr>
        <w:pStyle w:val="TextBody"/>
        <w:bidi w:val="0"/>
        <w:spacing w:lineRule="auto" w:line="288" w:before="0" w:after="0"/>
        <w:jc w:val="both"/>
        <w:rPr>
          <w:rFonts w:ascii="Arial Narrow;sans-serif" w:hAnsi="Arial Narrow;sans-serif"/>
          <w:b w:val="false"/>
          <w:color w:val="000000"/>
          <w:sz w:val="20"/>
        </w:rPr>
      </w:pPr>
      <w:r>
        <w:rPr>
          <w:rFonts w:ascii="Arial Narrow;sans-serif" w:hAnsi="Arial Narrow;sans-serif"/>
          <w:b w:val="false"/>
          <w:color w:val="000000"/>
          <w:sz w:val="20"/>
        </w:rPr>
        <w:t>This Power of Attorney shall remain in full force and effect until the undersigned is no longer required to file Forms 3, 4 and 5, as applicable, with respect to the undersigned’s holdings of and transactions in securities issued by the Company, unless earlier revoked by the undersigned in a signed writing delivered to the foregoing attorneys-in-fact.</w:t>
      </w:r>
    </w:p>
    <w:p>
      <w:pPr>
        <w:pStyle w:val="TextBody"/>
        <w:bidi w:val="0"/>
        <w:spacing w:before="0" w:after="0"/>
        <w:jc w:val="both"/>
        <w:rPr/>
      </w:pPr>
      <w:r>
        <w:rPr/>
      </w:r>
    </w:p>
    <w:p>
      <w:pPr>
        <w:pStyle w:val="TextBody"/>
        <w:bidi w:val="0"/>
        <w:spacing w:lineRule="auto" w:line="288" w:before="0" w:after="0"/>
        <w:jc w:val="both"/>
        <w:rPr>
          <w:rFonts w:ascii="Arial Narrow;sans-serif" w:hAnsi="Arial Narrow;sans-serif"/>
          <w:b w:val="false"/>
          <w:color w:val="000000"/>
          <w:sz w:val="20"/>
        </w:rPr>
      </w:pPr>
      <w:r>
        <w:rPr>
          <w:rFonts w:ascii="Arial Narrow;sans-serif" w:hAnsi="Arial Narrow;sans-serif"/>
          <w:b w:val="false"/>
          <w:color w:val="000000"/>
          <w:sz w:val="20"/>
        </w:rPr>
        <w:t>IN WITNESS WHEREOF, the undersigned has caused this Power of Attorney to be executed as of the 1st day of June, 2026.</w:t>
      </w:r>
    </w:p>
    <w:p>
      <w:pPr>
        <w:pStyle w:val="TextBody"/>
        <w:bidi w:val="0"/>
        <w:spacing w:before="0" w:after="0"/>
        <w:jc w:val="both"/>
        <w:rPr/>
      </w:pPr>
      <w:r>
        <w:rPr/>
      </w:r>
    </w:p>
    <w:p>
      <w:pPr>
        <w:pStyle w:val="TextBody"/>
        <w:bidi w:val="0"/>
        <w:spacing w:before="0" w:after="0"/>
        <w:jc w:val="both"/>
        <w:rPr/>
      </w:pPr>
      <w:r>
        <w:rPr/>
      </w:r>
    </w:p>
    <w:p>
      <w:pPr>
        <w:pStyle w:val="TextBody"/>
        <w:bidi w:val="0"/>
        <w:spacing w:lineRule="auto" w:line="288" w:before="0" w:after="0"/>
        <w:ind w:left="0" w:right="0" w:firstLine="5760"/>
        <w:jc w:val="both"/>
        <w:rPr/>
      </w:pPr>
      <w:r>
        <w:rPr>
          <w:rFonts w:ascii="Arial Narrow;sans-serif" w:hAnsi="Arial Narrow;sans-serif"/>
          <w:b w:val="false"/>
          <w:color w:val="000000"/>
          <w:sz w:val="20"/>
        </w:rPr>
        <w:t xml:space="preserve">By: </w:t>
      </w:r>
      <w:r>
        <w:rPr>
          <w:rFonts w:ascii="Arial Narrow;sans-serif" w:hAnsi="Arial Narrow;sans-serif"/>
          <w:b w:val="false"/>
          <w:color w:val="000000"/>
          <w:sz w:val="20"/>
          <w:u w:val="single"/>
        </w:rPr>
        <w:t xml:space="preserve">/s/ Michael Blitzer </w:t>
      </w:r>
    </w:p>
    <w:p>
      <w:pPr>
        <w:pStyle w:val="TextBody"/>
        <w:bidi w:val="0"/>
        <w:spacing w:lineRule="auto" w:line="288" w:before="0" w:after="0"/>
        <w:ind w:left="0" w:right="0" w:firstLine="5760"/>
        <w:jc w:val="left"/>
        <w:rPr>
          <w:rFonts w:ascii="Arial Narrow;sans-serif" w:hAnsi="Arial Narrow;sans-serif"/>
          <w:b w:val="false"/>
          <w:color w:val="000000"/>
          <w:sz w:val="20"/>
        </w:rPr>
      </w:pPr>
      <w:r>
        <w:rPr>
          <w:rFonts w:ascii="Arial Narrow;sans-serif" w:hAnsi="Arial Narrow;sans-serif"/>
          <w:b w:val="false"/>
          <w:color w:val="000000"/>
          <w:sz w:val="20"/>
        </w:rPr>
        <w:t>Michael Blitzer</w:t>
      </w:r>
    </w:p>
    <w:p>
      <w:pPr>
        <w:pStyle w:val="TextBody"/>
        <w:bidi w:val="0"/>
        <w:spacing w:before="0" w:after="0"/>
        <w:jc w:val="left"/>
        <w:rPr/>
      </w:pPr>
      <w:r>
        <w:rPr/>
      </w:r>
      <w:r>
        <mc:AlternateContent>
          <mc:Choice Requires="wps">
            <w:drawing>
              <wp:anchor behindDoc="0" distT="0" distB="0" distL="0" distR="0" simplePos="0" locked="0" layoutInCell="1" allowOverlap="1" relativeHeight="6">
                <wp:simplePos x="0" y="0"/>
                <wp:positionH relativeFrom="character">
                  <wp:align>left</wp:align>
                </wp:positionH>
                <wp:positionV relativeFrom="line">
                  <wp:posOffset>635</wp:posOffset>
                </wp:positionV>
                <wp:extent cx="6480175" cy="175260"/>
                <wp:effectExtent l="0" t="0" r="0" b="0"/>
                <wp:wrapNone/>
                <wp:docPr id="5" name="Frame1"/>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sectPr>
      <w:type w:val="continuous"/>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arial">
    <w:altName w:val="helvetica"/>
    <w:charset w:val="01"/>
    <w:family w:val="auto"/>
    <w:pitch w:val="default"/>
  </w:font>
  <w:font w:name="Times">
    <w:altName w:val="Times New Roman"/>
    <w:charset w:val="01"/>
    <w:family w:val="auto"/>
    <w:pitch w:val="default"/>
  </w:font>
  <w:font w:name="Arial">
    <w:altName w:val="sans-serif"/>
    <w:charset w:val="01"/>
    <w:family w:val="auto"/>
    <w:pitch w:val="default"/>
  </w:font>
  <w:font w:name="Arial Narrow">
    <w:altName w:val="sans-serif"/>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 w:type="paragraph" w:styleId="FrameContents">
    <w:name w:val="Frame Contents"/>
    <w:basedOn w:val="Normal"/>
    <w:qFormat/>
    <w:pPr/>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box-unchecked.jpg" TargetMode="External"/><Relationship Id="rId3" Type="http://schemas.openxmlformats.org/officeDocument/2006/relationships/image" Target="https://cdn.kscope.io/box-unchecked.jpg" TargetMode="External"/><Relationship Id="rId4" Type="http://schemas.openxmlformats.org/officeDocument/2006/relationships/hyperlink" Target="http://www.sec.gov/cgi-bin/browse-edgar?action=getcompany&amp;CIK=0001458423" TargetMode="External"/><Relationship Id="rId5" Type="http://schemas.openxmlformats.org/officeDocument/2006/relationships/hyperlink" Target="http://www.sec.gov/cgi-bin/browse-edgar?action=getcompany&amp;CIK=0001970622" TargetMode="External"/><Relationship Id="rId6" Type="http://schemas.openxmlformats.org/officeDocument/2006/relationships/image" Target="https://cdn.kscope.io/box-checked.jpg" TargetMode="External"/><Relationship Id="rId7" Type="http://schemas.openxmlformats.org/officeDocument/2006/relationships/image" Target="https://cdn.kscope.io/box-checked.jpg" TargetMode="External"/><Relationship Id="rId8" Type="http://schemas.openxmlformats.org/officeDocument/2006/relationships/fontTable" Target="fontTable.xml"/><Relationship Id="rId9"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2</Pages>
  <Words>1219</Words>
  <Characters>6459</Characters>
  <CharactersWithSpaces>7580</CharactersWithSpaces>
  <Paragraphs>127</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