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001-8k_usarare.htm"/>
      <w:bookmarkStart w:id="1" w:name="ksea02990018k_usarar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72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July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USA Rare Earth,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2540"/>
        <w:gridCol w:w="60"/>
        <w:gridCol w:w="2615"/>
        <w:gridCol w:w="60"/>
        <w:gridCol w:w="1775"/>
      </w:tblGrid>
      <w:tr>
        <w:trPr/>
        <w:tc>
          <w:tcPr>
            <w:tcW w:w="2540" w:type="dxa"/>
            <w:tcBorders>
              <w:bottom w:val="single" w:sz="12" w:space="0" w:color="000000"/>
            </w:tcBorders>
            <w:vAlign w:val="center"/>
          </w:tcPr>
          <w:p>
            <w:pPr>
              <w:pStyle w:val="TableContents"/>
              <w:bidi w:val="0"/>
              <w:spacing w:before="0" w:after="283"/>
              <w:jc w:val="center"/>
              <w:rPr>
                <w:b/>
              </w:rPr>
            </w:pPr>
            <w:bookmarkStart w:id="5" w:name="xdx_90C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E_edei--EntityFileNumber_c20260722"/>
            <w:bookmarkEnd w:id="6"/>
            <w:r>
              <w:rPr>
                <w:b/>
              </w:rPr>
              <w:t>001-41711</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2_edei--EntityTaxIdentificationNum"/>
            <w:bookmarkEnd w:id="7"/>
            <w:r>
              <w:rPr>
                <w:b/>
              </w:rPr>
              <w:t>98-1720278</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val="false"/>
          <w:i w:val="false"/>
          <w:caps w:val="false"/>
          <w:smallCaps w:val="false"/>
          <w:sz w:val="20"/>
        </w:rPr>
        <w:t>100 W Airport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E_edei--EntityAddressCityOrTown_c2"/>
      <w:bookmarkEnd w:id="9"/>
      <w:r>
        <w:rPr>
          <w:rFonts w:ascii="Times New Roman;Times;Serif" w:hAnsi="Times New Roman;Times;Serif"/>
          <w:b w:val="false"/>
          <w:i w:val="false"/>
          <w:caps w:val="false"/>
          <w:smallCaps w:val="false"/>
          <w:sz w:val="20"/>
        </w:rPr>
        <w:t xml:space="preserve">Stillwater, </w:t>
      </w:r>
      <w:bookmarkStart w:id="10" w:name="xdx_902_edei--EntityAddressStateOrProvin"/>
      <w:bookmarkEnd w:id="10"/>
      <w:r>
        <w:rPr>
          <w:rFonts w:ascii="Times New Roman;Times;Serif" w:hAnsi="Times New Roman;Times;Serif"/>
          <w:b w:val="false"/>
          <w:i w:val="false"/>
          <w:caps w:val="false"/>
          <w:smallCaps w:val="false"/>
          <w:sz w:val="20"/>
        </w:rPr>
        <w:t xml:space="preserve">Oklahoma </w:t>
      </w:r>
      <w:bookmarkStart w:id="11" w:name="xdx_90B_edei--EntityAddressPostalZipCode"/>
      <w:bookmarkEnd w:id="11"/>
      <w:r>
        <w:rPr>
          <w:rFonts w:ascii="Times New Roman;Times;Serif" w:hAnsi="Times New Roman;Times;Serif"/>
          <w:b w:val="false"/>
          <w:i w:val="false"/>
          <w:caps w:val="false"/>
          <w:smallCaps w:val="false"/>
          <w:sz w:val="20"/>
        </w:rPr>
        <w:t>74075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D_edei--CityAreaCode_c20260722__20"/>
      <w:bookmarkEnd w:id="12"/>
      <w:r>
        <w:rPr>
          <w:rFonts w:ascii="Times New Roman;Times;Serif" w:hAnsi="Times New Roman;Times;Serif"/>
          <w:b w:val="false"/>
          <w:i w:val="false"/>
          <w:caps w:val="false"/>
          <w:smallCaps w:val="false"/>
          <w:sz w:val="20"/>
        </w:rPr>
        <w:t xml:space="preserve">813) </w:t>
      </w:r>
      <w:bookmarkStart w:id="13" w:name="xdx_90E_edei--LocalPhoneNumber_c20260722"/>
      <w:bookmarkEnd w:id="13"/>
      <w:r>
        <w:rPr>
          <w:rFonts w:ascii="Times New Roman;Times;Serif" w:hAnsi="Times New Roman;Times;Serif"/>
          <w:b w:val="false"/>
          <w:i w:val="false"/>
          <w:caps w:val="false"/>
          <w:smallCaps w:val="false"/>
          <w:sz w:val="20"/>
        </w:rPr>
        <w:t>867-6155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6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465" w:type="dxa"/>
        <w:jc w:val="left"/>
        <w:tblInd w:w="0" w:type="dxa"/>
        <w:tblLayout w:type="fixed"/>
        <w:tblCellMar>
          <w:top w:w="0" w:type="dxa"/>
          <w:left w:w="0" w:type="dxa"/>
          <w:bottom w:w="28" w:type="dxa"/>
          <w:right w:w="0" w:type="dxa"/>
        </w:tblCellMar>
      </w:tblPr>
      <w:tblGrid>
        <w:gridCol w:w="3305"/>
        <w:gridCol w:w="60"/>
        <w:gridCol w:w="1805"/>
        <w:gridCol w:w="60"/>
        <w:gridCol w:w="4235"/>
      </w:tblGrid>
      <w:tr>
        <w:trPr/>
        <w:tc>
          <w:tcPr>
            <w:tcW w:w="3305" w:type="dxa"/>
            <w:tcBorders>
              <w:bottom w:val="single" w:sz="12"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05" w:type="dxa"/>
            <w:tcBorders>
              <w:bottom w:val="single" w:sz="12"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center"/>
              <w:rPr/>
            </w:pPr>
            <w:r>
              <w:rPr/>
              <w:t> </w:t>
            </w:r>
          </w:p>
        </w:tc>
        <w:tc>
          <w:tcPr>
            <w:tcW w:w="4235" w:type="dxa"/>
            <w:tcBorders>
              <w:bottom w:val="single" w:sz="12" w:space="0" w:color="000000"/>
            </w:tcBorders>
            <w:vAlign w:val="center"/>
          </w:tcPr>
          <w:p>
            <w:pPr>
              <w:pStyle w:val="TableContents"/>
              <w:bidi w:val="0"/>
              <w:spacing w:before="0" w:after="283"/>
              <w:jc w:val="center"/>
              <w:rPr/>
            </w:pPr>
            <w:r>
              <w:rPr/>
              <w:t>Name of each exchange on which registered</w:t>
            </w:r>
          </w:p>
        </w:tc>
      </w:tr>
      <w:tr>
        <w:trPr/>
        <w:tc>
          <w:tcPr>
            <w:tcW w:w="3305" w:type="dxa"/>
            <w:tcBorders/>
            <w:shd w:fill="CCEEFF" w:val="clear"/>
            <w:tcMar>
              <w:bottom w:w="0" w:type="dxa"/>
            </w:tcMar>
            <w:vAlign w:val="center"/>
          </w:tcPr>
          <w:p>
            <w:pPr>
              <w:pStyle w:val="TableContents"/>
              <w:bidi w:val="0"/>
              <w:spacing w:before="0" w:after="283"/>
              <w:jc w:val="center"/>
              <w:rPr/>
            </w:pPr>
            <w:bookmarkStart w:id="18" w:name="xdx_90D_edei--Security12bTitle_c20260722"/>
            <w:bookmarkEnd w:id="18"/>
            <w:r>
              <w:rPr/>
              <w:t>Common stock,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05" w:type="dxa"/>
            <w:tcBorders/>
            <w:shd w:fill="CCEEFF" w:val="clear"/>
            <w:tcMar>
              <w:bottom w:w="0" w:type="dxa"/>
            </w:tcMar>
            <w:vAlign w:val="center"/>
          </w:tcPr>
          <w:p>
            <w:pPr>
              <w:pStyle w:val="TableContents"/>
              <w:bidi w:val="0"/>
              <w:spacing w:before="0" w:after="283"/>
              <w:jc w:val="center"/>
              <w:rPr/>
            </w:pPr>
            <w:bookmarkStart w:id="19" w:name="xdx_90E_edei--TradingSymbol_c20260722__2"/>
            <w:bookmarkEnd w:id="19"/>
            <w:r>
              <w:rPr/>
              <w:t>USAR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35" w:type="dxa"/>
            <w:tcBorders/>
            <w:shd w:fill="CCEEFF" w:val="clear"/>
            <w:tcMar>
              <w:bottom w:w="0" w:type="dxa"/>
            </w:tcMar>
            <w:vAlign w:val="center"/>
          </w:tcPr>
          <w:p>
            <w:pPr>
              <w:pStyle w:val="TableContents"/>
              <w:bidi w:val="0"/>
              <w:spacing w:before="0" w:after="283"/>
              <w:jc w:val="center"/>
              <w:rPr/>
            </w:pPr>
            <w:r>
              <w:rPr/>
              <w:t xml:space="preserve">The </w:t>
            </w:r>
            <w:bookmarkStart w:id="20" w:name="xdx_903_edei--SecurityExchangeName_c2026"/>
            <w:bookmarkEnd w:id="20"/>
            <w: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2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under Item 8.01 of this Current Report on Form 8-K related to the Contribution in Kind and the issuance of USAR Common Stock to Carester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USAR issued a press release announcing its entry into the Investment Agreement, a copy of which is being furnished as Exhibit 99.1 hereto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under this Item 7.01 of this Current Report on Form 8-K, including Exhibit 99.1, is “furnished” and shall not be deemed “filed” with the Securities and Exchange Commission or incorporated by reference in any filing under the Securities Exchange Act of 1934, as amended, or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and Investment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USA Rare Earth, Inc. (“USAR” or the “Company”) entered into a Share Purchase and Investment Agreement (the “Investment Agreement”) by and among (i) Frédéric Carencotte (the “Founder”), a French citizen, (ii) CareInvest, a French société par actions simplifiée controlled by the Founder (together with the Founder, the “Majority Shareholders”), (iii) USAR, (iv) InfraVia CMF Invest S.à r.l., a Luxembourg private limited liability company (“InfraVia” and, together with USAR, the “New Investors”), and (v) Carester SAS, a French société par actions simplifiée (“Carester”). The Investment Agreement provides for a minority investment by the New Investors in Carester.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Agreement, the New Investors will invest an aggregate amount of EUR 45,000,225.00 in Carester by subscribing for preferred shares, par value EUR 0.10 per share (“Preferred Shares RR,” and such investment, the “Investment”), structured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Carester will issue 148,149 Preferred Shares RR for an aggregate subscription price of EUR 33,333,525.00, subscribed in cash by the New Investors, with USAR subscribing for 48,149 Preferred Shares RR for EUR 10,833,525.00 and InfraVia subscribing for 100,000 Preferred Shares RR for EUR 22,500,000.00 (the “Share Capital Increase in Cash”).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Carester will issue an additional 51,852 Preferred Shares RR for an aggregate subscription price of EUR 11,666,700.00, subscribed solely by USAR and paid entirely through an in-kind contribution (the “Contribution in Kind”) of shares of USAR common stock, par value $0.0001 per share (“USAR Common Stock”). The number of shares of USAR Common Stock to be contributed will be calculated by dividing EUR 11,666,700.00 by the product of (i) the closing price of USAR Common Stock nine (9) calendar days prior to the closing date (or the preceding business day if such date is not a business day) and (ii) the USD-EUR exchange rate on that same date, rounded up to the next whole share.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USAR’s total investment in Carester will be EUR 22,500,225.00 for an aggregate of 100,001 Preferred Shares RR (48,149 Preferred Shares RR from the cash subscription and 51,852 Preferred Shares RR from the Contribution in Kind). Upon completion of the transactions contemplated by the Investment Agreement (“Completion”), after giving effect to the Secondary Transaction and the Rhodia Exit described below and the conversion of the ordinary shares so acquired into Preferred Shares RR, USAR will hold 177,778 Preferred Shares RR, representing approximately 13.6% of Carester’s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Completion, USAR has agreed to provide Carester registration rights with respect to the USAR Common Stock to be issued. Completion is subject to the execution of a share purchase agreement with Rhodia Opérations providing for the Rhodia Exit and the completion of the transfer of the Rhodia Shares thereunder, together with other remaining customary conditions, and is expected to occur in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Secondary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Investment, the New Investors will acquire an aggregate of 44,444 ordinary shares of Carester (the “Sold Shares”) directly from the Founder for an aggregate purchase price of EUR 9,999,900, USAR will acquire 22,222 Sold Shares for EUR 4,999,950 and InfraVia will acquire 22,222 Sold Shares for EUR 4,999,950 (the “Secondary Transaction”). The Investment, the Secondary Transaction and the Rhodia Exit (described below) will close simultaneously.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Rhodia Exit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but on the same day as, the Investment and the Secondary Transaction, the New Investors will acquire an aggregate of 111,111 ordinary shares of Carester held by Rhodia Opérations, the entity through which Solvay holds its interest in Carester (the “Rhodia Shares”), for an aggregate purchase price of EUR 24,999,975.00, with USAR acquiring 55,555 Rhodia Shares for EUR 12,499,875.00 and InfraVia acquiring 55,556 Rhodia Shares for EUR 12,500,100.00 (the “Rhodia Exit”), resulting in the full exit of Solvay as a shareholder of Carester. The Rhodia Exit will be effected pursuant to a separate share purchase agreement to be entered into among Rhodia Opérations and the New Investors (the “Rhodia SPA”). Upon Completion, the Rhodia Shares and the Sold Shares acquired by the New Investors will convert into Preferred Shares RR. Completion of the Investment is conditioned on the Rhodia Exit.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Shareholders’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Investment Agreement, upon Completion, the Majority Shareholders and the New Investors will enter into a new shareholders’ agreement to govern Carester (the “New Shareholders’ Agreement”), superseding the existing shareholders’ agreement dated April 11, 2024. The New Shareholders’ Agreement provides for, among other things, board/governance arrangements and consent rights over specified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Forward-looking statements may be identified by the use of words such as “estimate,” “plan,” “project,” “forecast,” “intend,” “expect,” “anticipate,” “believe,” “seek,” “target,” “will,” “could,” “should,” “may” or other similar expressions that predict or indicate future events or trends or that are not statements of historical matters. These forward-looking statements include, but are not limited to, statements regarding the expected completion of the transactions contemplated by the Investment Agreement, the expected benefits of the Carester investment (including securing rare-earth feedstock/supply chain access and European rare-earth oxide production capacity), the anticipated post-closing capitalization of Carester, the expected timing of Completion, the filing and effectiveness of the resale registration statement, and the ability to satisfy conditions to Completion. These statements are based on various assumptions and on the current expectations of USAR’s management and are not predictions of actual performance. These forward-looking statements are provided for illustrative purposes only and are not intended to serve as, and must not be relied on as, a guarantee, an assurance, a prediction or a definitive statement of fact or probability.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events and circumstances are difficult or impossible to predict and will differ from assumptions. Many actual events and circumstances are beyond the control of USAR. These forward-looking statements are subject to a number of risks and uncertainties, including, without limitation: (i) the risk that the transactions contemplated by the Investment Agreement may not be completed in a timely manner or at all; (ii) the risk that the anticipated benefits of the Carester investment may not be realized, including due to changes in the rare-earth market, construction delays at Carester’s production facility, or integration/execution risks; (iii) the risk that the exact number of shares of USAR Common to be issued in the Contribution in Kind, and the associated dilutive impact on USAR stockholders, will not be known until shortly before Completion; (iv) the risks associated with USAR’s other previously announced or pending transactions, including the pending merger with SVRE Holdings Ltd.; and (v) those factors discussed in USAR’s most recent Annual Report on Form 10-K and subsequent filings with the SEC, including under “Risk Factors” and “Forward-Looking Statements”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cautions that the foregoing list of factors is not exclusive. USAR cautions readers not to place undue reliance upon any forward-looking statements, which speak only as of the date made. USAR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995"/>
        <w:gridCol w:w="60"/>
        <w:gridCol w:w="689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8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90" w:type="dxa"/>
            <w:tcBorders/>
            <w:shd w:fill="CCEEFF" w:val="clear"/>
            <w:tcMar>
              <w:bottom w:w="0" w:type="dxa"/>
            </w:tcMar>
            <w:vAlign w:val="center"/>
          </w:tcPr>
          <w:p>
            <w:pPr>
              <w:pStyle w:val="TableContents"/>
              <w:bidi w:val="0"/>
              <w:spacing w:before="0" w:after="283"/>
              <w:jc w:val="left"/>
              <w:rPr/>
            </w:pPr>
            <w:hyperlink w:anchor="ea029900101ex99-1.htm">
              <w:r>
                <w:rPr>
                  <w:rStyle w:val="InternetLink"/>
                  <w:rFonts w:ascii="Times New Roman;Times;Serif" w:hAnsi="Times New Roman;Times;Serif"/>
                  <w:sz w:val="20"/>
                </w:rPr>
                <w:t>Press Release, dated July 23, 2026, announcing entry into the Investment Agreement</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1625"/>
        <w:gridCol w:w="635"/>
        <w:gridCol w:w="1790"/>
      </w:tblGrid>
      <w:tr>
        <w:trPr/>
        <w:tc>
          <w:tcPr>
            <w:tcW w:w="1625" w:type="dxa"/>
            <w:tcBorders/>
            <w:vAlign w:val="center"/>
          </w:tcPr>
          <w:p>
            <w:pPr>
              <w:pStyle w:val="TableContents"/>
              <w:bidi w:val="0"/>
              <w:spacing w:before="0" w:after="283"/>
              <w:jc w:val="left"/>
              <w:rPr/>
            </w:pPr>
            <w:r>
              <w:rPr/>
              <w:t> </w:t>
            </w:r>
          </w:p>
        </w:tc>
        <w:tc>
          <w:tcPr>
            <w:tcW w:w="24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Rare Earth, Inc.</w:t>
            </w:r>
          </w:p>
        </w:tc>
      </w:tr>
      <w:tr>
        <w:trPr/>
        <w:tc>
          <w:tcPr>
            <w:tcW w:w="1625" w:type="dxa"/>
            <w:tcBorders/>
            <w:vAlign w:val="center"/>
          </w:tcPr>
          <w:p>
            <w:pPr>
              <w:pStyle w:val="TableContents"/>
              <w:bidi w:val="0"/>
              <w:spacing w:before="0" w:after="283"/>
              <w:jc w:val="left"/>
              <w:rPr/>
            </w:pPr>
            <w:r>
              <w:rPr/>
              <w:t> </w:t>
            </w:r>
          </w:p>
        </w:tc>
        <w:tc>
          <w:tcPr>
            <w:tcW w:w="2425"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23,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Valerie Ford Jacob</w:t>
            </w:r>
          </w:p>
        </w:tc>
      </w:tr>
      <w:tr>
        <w:trPr/>
        <w:tc>
          <w:tcPr>
            <w:tcW w:w="16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Valerie Ford Jacob</w:t>
            </w:r>
          </w:p>
        </w:tc>
      </w:tr>
      <w:tr>
        <w:trPr/>
        <w:tc>
          <w:tcPr>
            <w:tcW w:w="16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ea029900101ex99-1.htm"/>
      <w:bookmarkStart w:id="24" w:name="ksea029900101ex991"/>
      <w:bookmarkEnd w:id="23"/>
      <w:bookmarkEnd w:id="24"/>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Enters Definitive Agreements for Strategic Investment in Carester, Strengthening its European Rare Earth Partnership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Formalizes the Strategic Investment and Commercial Framework Between the Companies Announced in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Strengthens USA Rare Earth’s Midstream Rare Earth Platform in Europe and the Integrated Industrial Ecosystem Forming in Lacq, France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Carester’s Caremag Facility to Commence Operations in Q4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Provides LCM Europe and USA Rare Earth Access to Carester’s Rare Earth Oxides; Gives Carester Access to USA Rare Earth Feedstock from Serra Verde and Round Top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STILLWATER, Okla., July 23, 2026 (GLOBE NEWSWIRE) -- </w:t>
      </w:r>
      <w:r>
        <w:rPr>
          <w:rFonts w:ascii="Times New Roman;Times;Serif" w:hAnsi="Times New Roman;Times;Serif"/>
          <w:b w:val="false"/>
          <w:i w:val="false"/>
          <w:caps w:val="false"/>
          <w:smallCaps w:val="false"/>
          <w:sz w:val="20"/>
        </w:rPr>
        <w:t>USA Rare Earth, Inc. (Nasdaq: USAR) (the “Company”) today announced that it has entered into definitive agreements to acquire strategic minority stakes representing approximately 13.6 percent each in Carester SAS (“Carester”), a French leader in rare earth processing and separation. InfraVia, acting through its Critical Metals Fund, seeded by the French State as an anchor investor alongside private institutional capital, is acquiring a similar stake in Carester alongside USA Rare Earth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finalize the strategic investment and commercial framework the parties announced in April 2026. In addition to targeting healthy returns, USA Rare Earth and its subsidiary Less Common Metals (“LCM”) Europe will have the ability to purchase a portion of Carester’s oxide output from its Caremag facility. USA Rare Earth will have access to Carester’s engineering capabilities and related intellectual property for separation, processing, and recycling. In turn, Carester will have access to USA Rare Earth feedstock sources, including Serra Verde and the Round Top deposit in Texas.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Integrating Carester’s capabilities into our global platform brings additional advanced processing optionality into our integrated value chain, further supporting our mining, metal making and magnet manufacturing businesses,” said Barbara Humpton, Chief Executive Officer of USA Rare Earth. “This is also a highly strategic financial investment, as Carester’s position as one of the few facilities outside of China capable of separating heavy rare earths beginning in 2027 can provide a distinct competitive advantage. We anticipate that this scarcity, coupled with accelerating demand for secure critical materials, can drive sustainable, long-term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2019, Carester is a French specialist in rare earth processing and separation technologies, with decades of technical expertise across the value chain from raw material sourcing through high-purity rare earth oxides. Carester is currently building its Caremag magnet recycling and heavy rare earth separation facility in Lacq, France, scheduled for commissioning in late 2026 with an anticipated annual production when fully ramped of 800 tonnes per annum (tpa) of neodymium-praseodymium (NdPr) oxide, 500 tpa of dysprosium (Dy) oxide and 100 tpa of terbium (Tb) oxide. The facility’s Dy and Tb oxide production is expected to represent approximately 15% of current world production of these magnetic heavy rare earth oxides.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will primarily fund Carester’s next phase of growth, including expansion of its rare earth processing and separation platform (Caremag), research and development, and working capital. As a condition to completion of the strategic investment, portion of the joint investment will fund the acquisition of minority shareholders’ interest, resulting in their full exit. Funding is expected in the third quarter of 2026, subject to remaining customary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is part of a broader partnership between USA Rare Earth, LCM Europe, and Carester to build an integrated rare earth industrial platform in Lacq, France, spanning processing, separation, metal and alloy production, and potentially magnet manufacturing. In parallel, USA Rare Earth, through LCM Europe, is developing a 3,750 mtpa metal and alloy production facility at the same location. Together, these projects are intended to form one of Europe’s most complete rare earth industrial ecosystems and to advance a secure, Western-aligned value chain across the United States, the United Kingdom, and 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Lacq platform builds on the French government’s previously announced support for the LCM Europe metallization and alloy project, including direct credits under the C3IV program of up to 45 percent of eligible equipment and real estate, up to €130 million, and Bpifrance Assurance Export’s readiness to consider a state guarantee (Garantie des Projets Stratégiques) covering 50 percent of commercial debt financing for project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Moelis &amp; Company LLC acted as financial advisor and Latham &amp; Watkins LLP acted as legal advisor to USA Rare Earth.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USA Rare Earth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 (Nasdaq: USAR) is building a fully integrated rare earth and permanent magnet value chain across the United States, the United Kingdom, and Europe. Through its ownership of Less Common Metals Ltd. (LCM) and development of magnet manufacturing capacity in Stillwater, Oklahoma, USA Rare Earth operates across the entire value chain, from heavy rare earth processing to metal-making, alloy production, and neodymium magnet manufacturing. By combining domestic feedstock from the Round Top deposit with advanced processing technologies, recycling capabilities, and an expanding European industrial footprint, USA Rare Earth is establishing a secure, Western-aligned supply of materials essential to defense, electrification, robotics, energy, and advanced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Carester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2019 by Frédéric Carencotte and a team of international experts, Carester is a French company specializing in the refining of rare earth elements, critical materials for advanced technologies. The company is a leader in the separation and production of highly valuable heavy rare earth oxides including praseodymium (Pr), neodymium (Nd), terbium (Tb), and dysprosium (Dy), all critical components of permanent magnets. Carester processes both mined and recycled material, and its proprietary software intellectual property enables customers to optimize oxide formulations for specific use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InfraVia Capital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2008, InfraVia is a leading independent private capital firm specialized in real assets (infrastructure, critical metals, real estate) and technology investments. InfraVia is a conviction-driven investor focusing on resilient assets and long-term value creation through active, hands-on asset management. Headquartered in Paris, InfraVia is 100 percent partner-owned. InfraVia manages more than EUR 20 billion of capital and has invested in more than 60 companies across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include statements regarding the Company’s investment in Carester and the timing and completion of that investment, the development of Carester’s Caremag facility and LCM Europe’s planned metal and alloy production facility in Lacq, France, the Company’s role in establishing a midstream and downstream rare earth and magnet value chain in Europe, and USAR’s expectations for future development, operations, strategies, transactions and financial performance. Such statements can be identified by the fact that they do not relate strictly to historical or current facts. Words such as “anticipate,” “can,” “continue,” “could,” “growth,”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the investment in Carester is subject to remaining customary conditions and may not be completed on the terms contemplated or at all; Carester’s Caremag facility in Lacq, France is under construction and has not commenced commercial operation, and its commissioning may be delayed; the proposed transactions with Serra Verde Group and Texas Mineral Resources Corp.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Serra Verde,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limitations imposed on our business by the Chinese government;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 Lowe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ir@usare.com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Collected Strategies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USAR-CS@collectedstrategies.com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3615</Words>
  <Characters>20927</Characters>
  <CharactersWithSpaces>24537</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