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2353945</wp:posOffset>
            </wp:positionH>
            <wp:positionV relativeFrom="paragraph">
              <wp:posOffset>156845</wp:posOffset>
            </wp:positionV>
            <wp:extent cx="2468880" cy="514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68880"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USA Rare Earth,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020" w:type="dxa"/>
            <w:vAlign w:val="bottom"/>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42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7"/>
              </w:rPr>
              <w:t>001-41711</w:t>
            </w: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4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rPr>
              <w:t>98-1720278</w:t>
            </w:r>
          </w:p>
        </w:tc>
      </w:tr>
      <w:tr>
        <w:trPr>
          <w:trHeight w:val="196"/>
        </w:trPr>
        <w:tc>
          <w:tcPr>
            <w:tcW w:w="3020" w:type="dxa"/>
            <w:vAlign w:val="bottom"/>
            <w:tcBorders>
              <w:top w:val="single" w:sz="8" w:color="auto"/>
            </w:tcBorders>
          </w:tcPr>
          <w:p>
            <w:pPr>
              <w:jc w:val="center"/>
              <w:ind w:left="510"/>
              <w:spacing w:after="0" w:line="195" w:lineRule="exact"/>
              <w:rPr>
                <w:sz w:val="20"/>
                <w:szCs w:val="20"/>
                <w:color w:val="auto"/>
              </w:rPr>
            </w:pPr>
            <w:r>
              <w:rPr>
                <w:rFonts w:ascii="Times New Roman" w:cs="Times New Roman" w:eastAsia="Times New Roman" w:hAnsi="Times New Roman"/>
                <w:sz w:val="18"/>
                <w:szCs w:val="18"/>
                <w:i w:val="1"/>
                <w:iCs w:val="1"/>
                <w:color w:val="auto"/>
                <w:w w:val="99"/>
              </w:rPr>
              <w:t>(State or Other Jurisdiction</w:t>
            </w:r>
          </w:p>
        </w:tc>
        <w:tc>
          <w:tcPr>
            <w:tcW w:w="6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5" w:lineRule="exact"/>
              <w:rPr>
                <w:sz w:val="20"/>
                <w:szCs w:val="20"/>
                <w:color w:val="auto"/>
              </w:rPr>
            </w:pPr>
            <w:r>
              <w:rPr>
                <w:rFonts w:ascii="Times New Roman" w:cs="Times New Roman" w:eastAsia="Times New Roman" w:hAnsi="Times New Roman"/>
                <w:sz w:val="18"/>
                <w:szCs w:val="18"/>
                <w:i w:val="1"/>
                <w:iCs w:val="1"/>
                <w:color w:val="auto"/>
                <w:w w:val="99"/>
              </w:rPr>
              <w:t>(Commission File Number)</w:t>
            </w:r>
          </w:p>
        </w:tc>
        <w:tc>
          <w:tcPr>
            <w:tcW w:w="2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840" w:type="dxa"/>
            <w:vAlign w:val="bottom"/>
            <w:tcBorders>
              <w:top w:val="single" w:sz="8" w:color="auto"/>
            </w:tcBorders>
          </w:tcPr>
          <w:p>
            <w:pPr>
              <w:jc w:val="center"/>
              <w:ind w:right="670"/>
              <w:spacing w:after="0" w:line="195" w:lineRule="exact"/>
              <w:rPr>
                <w:sz w:val="20"/>
                <w:szCs w:val="20"/>
                <w:color w:val="auto"/>
              </w:rPr>
            </w:pPr>
            <w:r>
              <w:rPr>
                <w:rFonts w:ascii="Times New Roman" w:cs="Times New Roman" w:eastAsia="Times New Roman" w:hAnsi="Times New Roman"/>
                <w:sz w:val="18"/>
                <w:szCs w:val="18"/>
                <w:i w:val="1"/>
                <w:iCs w:val="1"/>
                <w:color w:val="auto"/>
                <w:w w:val="99"/>
              </w:rPr>
              <w:t>(I.R.S. Employer</w:t>
            </w:r>
          </w:p>
        </w:tc>
      </w:tr>
      <w:tr>
        <w:trPr>
          <w:trHeight w:val="236"/>
        </w:trPr>
        <w:tc>
          <w:tcPr>
            <w:tcW w:w="3020" w:type="dxa"/>
            <w:vAlign w:val="bottom"/>
          </w:tcPr>
          <w:p>
            <w:pPr>
              <w:jc w:val="center"/>
              <w:ind w:left="510"/>
              <w:spacing w:after="0"/>
              <w:rPr>
                <w:sz w:val="20"/>
                <w:szCs w:val="20"/>
                <w:color w:val="auto"/>
              </w:rPr>
            </w:pPr>
            <w:r>
              <w:rPr>
                <w:rFonts w:ascii="Times New Roman" w:cs="Times New Roman" w:eastAsia="Times New Roman" w:hAnsi="Times New Roman"/>
                <w:sz w:val="18"/>
                <w:szCs w:val="18"/>
                <w:i w:val="1"/>
                <w:iCs w:val="1"/>
                <w:color w:val="auto"/>
              </w:rPr>
              <w:t>of Incorporation)</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40" w:type="dxa"/>
            <w:vAlign w:val="bottom"/>
          </w:tcPr>
          <w:p>
            <w:pPr>
              <w:jc w:val="center"/>
              <w:ind w:right="670"/>
              <w:spacing w:after="0"/>
              <w:rPr>
                <w:sz w:val="20"/>
                <w:szCs w:val="20"/>
                <w:color w:val="auto"/>
              </w:rPr>
            </w:pPr>
            <w:r>
              <w:rPr>
                <w:rFonts w:ascii="Times New Roman" w:cs="Times New Roman" w:eastAsia="Times New Roman" w:hAnsi="Times New Roman"/>
                <w:sz w:val="18"/>
                <w:szCs w:val="18"/>
                <w:i w:val="1"/>
                <w:iCs w:val="1"/>
                <w:color w:val="auto"/>
                <w:w w:val="99"/>
              </w:rPr>
              <w:t>Identification No.)</w:t>
            </w:r>
          </w:p>
        </w:tc>
      </w:tr>
      <w:tr>
        <w:trPr>
          <w:trHeight w:val="412"/>
        </w:trPr>
        <w:tc>
          <w:tcPr>
            <w:tcW w:w="3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6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8"/>
              </w:rPr>
              <w:t>100 W. Airport Road, Stillwater, OK 74075</w:t>
            </w:r>
          </w:p>
        </w:tc>
        <w:tc>
          <w:tcPr>
            <w:tcW w:w="2840" w:type="dxa"/>
            <w:vAlign w:val="bottom"/>
          </w:tcPr>
          <w:p>
            <w:pPr>
              <w:spacing w:after="0"/>
              <w:rPr>
                <w:sz w:val="24"/>
                <w:szCs w:val="24"/>
                <w:color w:val="auto"/>
              </w:rPr>
            </w:pPr>
          </w:p>
        </w:tc>
      </w:tr>
      <w:tr>
        <w:trPr>
          <w:trHeight w:val="236"/>
        </w:trPr>
        <w:tc>
          <w:tcPr>
            <w:tcW w:w="3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780" w:type="dxa"/>
            <w:vAlign w:val="bottom"/>
            <w:gridSpan w:val="4"/>
          </w:tcPr>
          <w:p>
            <w:pPr>
              <w:jc w:val="center"/>
              <w:ind w:right="78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 (Zip Code)</w:t>
            </w:r>
          </w:p>
        </w:tc>
        <w:tc>
          <w:tcPr>
            <w:tcW w:w="2840" w:type="dxa"/>
            <w:vAlign w:val="bottom"/>
          </w:tcPr>
          <w:p>
            <w:pPr>
              <w:spacing w:after="0"/>
              <w:rPr>
                <w:sz w:val="20"/>
                <w:szCs w:val="20"/>
                <w:color w:val="auto"/>
              </w:rPr>
            </w:pPr>
          </w:p>
        </w:tc>
      </w:tr>
      <w:tr>
        <w:trPr>
          <w:trHeight w:val="412"/>
        </w:trPr>
        <w:tc>
          <w:tcPr>
            <w:tcW w:w="3020" w:type="dxa"/>
            <w:vAlign w:val="bottom"/>
          </w:tcPr>
          <w:p>
            <w:pPr>
              <w:spacing w:after="0"/>
              <w:rPr>
                <w:sz w:val="24"/>
                <w:szCs w:val="24"/>
                <w:color w:val="auto"/>
              </w:rPr>
            </w:pPr>
          </w:p>
        </w:tc>
        <w:tc>
          <w:tcPr>
            <w:tcW w:w="4420" w:type="dxa"/>
            <w:vAlign w:val="bottom"/>
            <w:gridSpan w:val="3"/>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(813) 867-6155</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36"/>
        </w:trPr>
        <w:tc>
          <w:tcPr>
            <w:tcW w:w="3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780" w:type="dxa"/>
            <w:vAlign w:val="bottom"/>
            <w:gridSpan w:val="4"/>
          </w:tcPr>
          <w:p>
            <w:pPr>
              <w:jc w:val="center"/>
              <w:ind w:right="760"/>
              <w:spacing w:after="0"/>
              <w:rPr>
                <w:sz w:val="20"/>
                <w:szCs w:val="20"/>
                <w:color w:val="auto"/>
              </w:rPr>
            </w:pPr>
            <w:r>
              <w:rPr>
                <w:rFonts w:ascii="Times New Roman" w:cs="Times New Roman" w:eastAsia="Times New Roman" w:hAnsi="Times New Roman"/>
                <w:sz w:val="18"/>
                <w:szCs w:val="18"/>
                <w:i w:val="1"/>
                <w:iCs w:val="1"/>
                <w:color w:val="auto"/>
                <w:w w:val="98"/>
              </w:rPr>
              <w:t>(Registrant’s telephone number, including area code)</w:t>
            </w:r>
          </w:p>
        </w:tc>
        <w:tc>
          <w:tcPr>
            <w:tcW w:w="2840" w:type="dxa"/>
            <w:vAlign w:val="bottom"/>
          </w:tcPr>
          <w:p>
            <w:pPr>
              <w:spacing w:after="0"/>
              <w:rPr>
                <w:sz w:val="20"/>
                <w:szCs w:val="20"/>
                <w:color w:val="auto"/>
              </w:rPr>
            </w:pPr>
          </w:p>
        </w:tc>
      </w:tr>
      <w:tr>
        <w:trPr>
          <w:trHeight w:val="412"/>
        </w:trPr>
        <w:tc>
          <w:tcPr>
            <w:tcW w:w="3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6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2840" w:type="dxa"/>
            <w:vAlign w:val="bottom"/>
          </w:tcPr>
          <w:p>
            <w:pPr>
              <w:spacing w:after="0"/>
              <w:rPr>
                <w:sz w:val="24"/>
                <w:szCs w:val="24"/>
                <w:color w:val="auto"/>
              </w:rPr>
            </w:pPr>
          </w:p>
        </w:tc>
      </w:tr>
      <w:tr>
        <w:trPr>
          <w:trHeight w:val="236"/>
        </w:trPr>
        <w:tc>
          <w:tcPr>
            <w:tcW w:w="3020" w:type="dxa"/>
            <w:vAlign w:val="bottom"/>
          </w:tcPr>
          <w:p>
            <w:pPr>
              <w:spacing w:after="0"/>
              <w:rPr>
                <w:sz w:val="20"/>
                <w:szCs w:val="20"/>
                <w:color w:val="auto"/>
              </w:rPr>
            </w:pPr>
          </w:p>
        </w:tc>
        <w:tc>
          <w:tcPr>
            <w:tcW w:w="538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i w:val="1"/>
                <w:iCs w:val="1"/>
                <w:color w:val="auto"/>
                <w:w w:val="99"/>
              </w:rPr>
              <w:t>(Former Name or Former Address, if Changed Since Last Report)</w:t>
            </w:r>
          </w:p>
        </w:tc>
        <w:tc>
          <w:tcPr>
            <w:tcW w:w="2840" w:type="dxa"/>
            <w:vAlign w:val="bottom"/>
          </w:tcPr>
          <w:p>
            <w:pPr>
              <w:spacing w:after="0"/>
              <w:rPr>
                <w:sz w:val="20"/>
                <w:szCs w:val="20"/>
                <w:color w:val="auto"/>
              </w:rPr>
            </w:pPr>
          </w:p>
        </w:tc>
      </w:tr>
    </w:tbl>
    <w:p>
      <w:pPr>
        <w:spacing w:after="0" w:line="19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6"/>
        </w:trPr>
        <w:tc>
          <w:tcPr>
            <w:tcW w:w="3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w:t>
            </w:r>
          </w:p>
        </w:tc>
        <w:tc>
          <w:tcPr>
            <w:tcW w:w="1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USAR</w:t>
            </w:r>
          </w:p>
        </w:tc>
        <w:tc>
          <w:tcPr>
            <w:tcW w:w="1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7" w:right="339" w:bottom="1440" w:gutter="0" w:footer="0" w:header="0"/>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As previously announced, USA Rare Earth, Inc. (“USAR,” “we,” “our,” and “us”) entered into a definitive Agreement and Plan of Merger (the “Merger Agreement”), dated as of April 19, 2026, by and among (i) USAR, (ii) Middlebury Merger Sub Ltd., a business company limited by shares incorporated under the laws of the British Virgin Islands and an indirect, wholly owned Subsidiary of USAR, (iii) SVRE Holdings Ltd., a business company limited by shares incorporated under the laws of the British Virgin Islands (“SVRE”), and (iv) Serra Verde Rare Earths Ltd., a company incorporated and existing under the laws of the British Virgin Islands, solely in its capacity as the representative of SVRE’s shareholders. The Merger Agreement provides for the merger of SVRE with and into Merger Sub, with Merger Sub surviving such merger as an indirect, wholly owned subsidiary of USAR.</w:t>
      </w:r>
    </w:p>
    <w:p>
      <w:pPr>
        <w:spacing w:after="0" w:line="3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the transactions contemplated by the Merger Agreement (the “Merger”), on May 13, 2026 USAR filed with the Securities and Exchange Commission (the “SEC”) a preliminary proxy statement on Schedule 14A related to the Merger (the “Preliminary Proxy Statement”), and a Current Report on Form 8-K, which included the unaudited pro forma condensed combined financial statements of USAR for the year ended December 31, 2025. USAR is filing this Current Report on Form 8-K for the purpose of disclosing USAR’s unaudited pro forma condensed combined financial statements as of and for the three months ended March 31, 2026 and for the year ended December 31, 2025, giving effect to the Merger. These pro forma financial statements are included in Exhibit 99.1 hereto. As a public company, our filings are subject to review by the SEC, including the Preliminary Proxy Statement filed in connection with the Merger, which includes USAR’s pro forma financial statements referenced above, which could cause changes or modifications to such information.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This report, including the exhibits filed hereto, contains “forward-looking statements” within the meaning of the Private Securities Litigation Reform Act of 1995. These statements include those relating to the proposed U.S. government collaboration and the expected timing of executing definitive documents relating thereto, the proposed acquisition of Serra Verde Group (“SVG”), our business plans, strategy, goals and prospects, our plans for and prospects of our other acquisitions, investments and other business development activities, including the announced Carester SAS (“Carester”) and Texas Mineral Resources Corp. (“TMRC”) transactions and other statements regarding USAR’s expectations for future development, operations, strategies, transactions and financial performance. Such statements can be identified by the fact that they do not relate strictly to historical or current facts. Words such as “aim,” “anticipate,” “believe,” “can,” “continue,” “could,” “estimate,” “expect,” “growth,” “intend,” “may,” “might,” “plan,” “potential,” “project,” “propose,” “should,” “target,” “vision,” “will,” “would” and similar expressions may identify forward-looking statements, but the absence of these words does not mean that a statement is not forward-looking.</w:t>
      </w:r>
    </w:p>
    <w:p>
      <w:pPr>
        <w:spacing w:after="0" w:line="188"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Forward-looking statements are subject to risks and uncertainties and potentially inaccurate assumptions that could cause actual results to differ materially from our expectations, including without limitation: risks that the proposed transactions with Serra Verde Group, Carester SAS and Texas Mineral Resources Corp. may not be consummated on their anticipated timelines or at all; we may not realize the anticipated benefits of our proposed and prior acquisitions, including expected synergies, financial performance, estimated EBITDA and, in the case of Serra Verde Group, integration of operations, on the anticipated timeline or at all; the ability of our Stillwater facility or other future magnet manufacturing facilities to commence commercial operations on the timing and with the production capacity anticipated or at all; our limited operating history; our ability to commercially extract minerals from the Round Top deposit on our anticipated timeline or at all; risks that we may experience delays, unforeseen expenses, increased capital costs, and other complications in operating our business; our ability to raise necessary capital on acceptable terms or at all; potential dilution to existing stockholders and adverse effect on our stock price if we issue additional common stock or equity-linked securities; the volatility of our stock price; our ability to satisfy project milestones and other conditions to disbursement under our financing arrangement with the Department of Commerce (“DOC”) on the anticipated timeline or at all; our dependence on continued governmental support for the DOC financing transactions, which remains subject to changes in laws, regulations, administrations and appropriations; extensive affirmative and negative covenants, domestic content and national security guardrail provisions and ongoing reporting obligations in the DOC financing agreements that restrict our operational and financial flexibility; the risk that defaults under the DOC funding agreements could trigger cross-defaults across our financing arrangements; the impact of the DOC’s equity interest in us on our ability to pursue strategic transactions and on our relationships with customers, suppliers, partners and other counterparties; the availability of rare earth oxide, metal feedstock and other materials, utilities (including power and water) and equipment in quantities and prices that allow us to develop and commercially operate our Stillwater facility and other facilities; our ability to meet individual customer specifications and manufacture a consistently high quality product; fluctuations in demand for and prices of our products, including without limitation as a result of dumping, predatory pricing and other tactics by the Company’s competitors or state actors or the overall competitive environment; our ability to achieve positive cash flow or profitability or the ability to access cash flow within our corporate structure due to restrictions contained in our financing agreements; our ability to convert current commercial discussions and/or memorandums of understanding with customers for the sale of our neo magnets and other products into definitive orders; geopolitical developments or disruptions, such as changes in the political environment, export/import or environmental policy of the People’s Republic of China, the United States or other countries in which we operate or sell products or otherwise; war, terrorism, natural disasters or public health emergencies; our ability to retain or recruit key personnel; environmental, health and safety regulations; and our ability to comply with requirements for federal, state and local government incentives and financing.</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Additional risks and detailed information regarding factors that may cause actual results to differ materially has been and will be included in the Company’s filings with the SEC. Any forward-looking statements speak only as of the date of this report (or such other date as is specified in such statements), and USAR undertakes no obligation to update any forward-looking statements as a result of new information or future events or developments, except to the extent required by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the Merger, USAR filed the Preliminary Proxy Statement and, following SEC review, intends to file a definitive proxy statement (together with any amendments or supplements thereto, the “</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to be distributed to USAR’s stockholders in connection with USAR’s solicitation of proxies for the vote by USAR’s stockholders with respect to the issuance of USAR common stock as merger consideration and other matters described in the Proxy Statement. SVRE’s shareholders approved the merger by written consent which was delivered concurrently with the signing of the merger agreement and will not receive a proxy statement or prospectus. USAR also plans to file with or furnish to the SEC other relevant documents regarding the Merger. After SEC review of the preliminary proxy statement is completed, the definitive Proxy Statement will be mailed to stockholders of USAR. BEFORE MAKING ANY VOTING OR INVESTMENT DECISION, INVESTORS AND SECURITY HOLDERS ARE URGED TO READ THE PROXY STATEMENT AND ALL OTHER RELEVANT DOCUMENTS THAT ARE OR WILL BE FILED WITH OR FURNISHED TO THE SEC, AS WELL AS ANY AMENDMENTS OR SUPPLEMENTS TO THESE DOCUMENTS, CAREFULLY AND IN THEIR ENTIRETY WHEN THEY BECOME AVAILABLE BECAUSE THEY CONTAIN OR WILL CONTAIN IMPORTANT INFORMATION ABOUT THE MERGER AND RELATED MATTERS.</w:t>
      </w:r>
    </w:p>
    <w:p>
      <w:pPr>
        <w:spacing w:after="0" w:line="192"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Investors and security holders will be able to obtain free copies of the Proxy Statement and other documents containing important information about USAR and the Merger, once such documents are filed with or furnished to the SEC through the website maintained by the SEC at www.sec.gov. Copies of the documents filed with or furnished to the SEC by USAR will be available free of charge on USAR’s website at investors.usare.com or by contacting USAR’s Investor Relations department by email at IR@usare.com. The information included on, or accessible through, USAR’s website is not incorporated by reference into this communication.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USAR and certain of its directors and executive officers and other members of its management and employees may be deemed to be participants in the solicitation of proxies in respect of the Merger.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Information about the directors and executive officers of USAR, including a description of their direct or indirect interests, by security holdings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is contained in USAR’s Preliminary Proxy Statement. Any changes in the holdings of USAR’s securities by USAR’s directors or executive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officers from the amounts described in the Preliminary Proxy Statement will be reflected in Statements of Changes in Beneficial Ownership on Form 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Form 4</w:t>
      </w:r>
      <w:r>
        <w:rPr>
          <w:rFonts w:ascii="Times New Roman" w:cs="Times New Roman" w:eastAsia="Times New Roman" w:hAnsi="Times New Roman"/>
          <w:sz w:val="18"/>
          <w:szCs w:val="18"/>
          <w:color w:val="auto"/>
        </w:rPr>
        <w:t>”) or Annual Statements of Changes in Beneficial Ownership of Securities on Form 5 (“</w:t>
      </w:r>
      <w:r>
        <w:rPr>
          <w:rFonts w:ascii="Times New Roman" w:cs="Times New Roman" w:eastAsia="Times New Roman" w:hAnsi="Times New Roman"/>
          <w:sz w:val="18"/>
          <w:szCs w:val="18"/>
          <w:u w:val="single" w:color="auto"/>
          <w:color w:val="auto"/>
        </w:rPr>
        <w:t>Form 5</w:t>
      </w:r>
      <w:r>
        <w:rPr>
          <w:rFonts w:ascii="Times New Roman" w:cs="Times New Roman" w:eastAsia="Times New Roman" w:hAnsi="Times New Roman"/>
          <w:sz w:val="18"/>
          <w:szCs w:val="18"/>
          <w:color w:val="auto"/>
        </w:rPr>
        <w:t>”) subsequently filed with the SEC and available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SEC’s website at www.sec.gov. Additional information regarding the interests of such participants will be contained in the Proxy Statement when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This communication is for informational purposes only and is not intended to and shall not constitute an offer to buy or sell or the solicitation of an offer to buy or sell any securities, or a solicitation of any vote or approval on the Merger or otherwise,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or pursuant to an applicable exemption therefrom.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 Exhibits.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exhibits are attached with this current report on Form 8-K:</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tcBorders>
            <w:shd w:val="clear" w:color="auto" w:fill="CCEEFF"/>
          </w:tcPr>
          <w:p>
            <w:pPr>
              <w:spacing w:after="0"/>
              <w:rPr>
                <w:sz w:val="15"/>
                <w:szCs w:val="15"/>
                <w:color w:val="auto"/>
              </w:rPr>
            </w:pPr>
          </w:p>
        </w:tc>
        <w:tc>
          <w:tcPr>
            <w:tcW w:w="10100" w:type="dxa"/>
            <w:vAlign w:val="bottom"/>
            <w:tcBorders>
              <w:top w:val="single" w:sz="8" w:color="auto"/>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pro forma condensed combined financial statements of USAR as of and for the three months ended March 31, 2026, and for the</w:t>
            </w:r>
          </w:p>
        </w:tc>
      </w:tr>
      <w:tr>
        <w:trPr>
          <w:trHeight w:val="196"/>
        </w:trPr>
        <w:tc>
          <w:tcPr>
            <w:tcW w:w="10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40" w:type="dxa"/>
            <w:vAlign w:val="bottom"/>
            <w:tcBorders>
              <w:top w:val="single" w:sz="8" w:color="0000EE"/>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year ended December 31, 2025</w:t>
            </w:r>
          </w:p>
        </w:tc>
        <w:tc>
          <w:tcPr>
            <w:tcW w:w="60" w:type="dxa"/>
            <w:vAlign w:val="bottom"/>
            <w:tcBorders>
              <w:top w:val="single" w:sz="8" w:color="CCEEFF"/>
            </w:tcBorders>
            <w:shd w:val="clear" w:color="auto" w:fill="CCEEFF"/>
          </w:tcPr>
          <w:p>
            <w:pPr>
              <w:spacing w:after="0"/>
              <w:rPr>
                <w:sz w:val="17"/>
                <w:szCs w:val="17"/>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0000EE"/>
            </w:tcBorders>
            <w:shd w:val="clear" w:color="auto" w:fill="CCEEFF"/>
          </w:tcPr>
          <w:p>
            <w:pPr>
              <w:spacing w:after="0" w:line="20" w:lineRule="exact"/>
              <w:rPr>
                <w:sz w:val="1"/>
                <w:szCs w:val="1"/>
                <w:color w:val="auto"/>
              </w:rPr>
            </w:pPr>
          </w:p>
        </w:tc>
        <w:tc>
          <w:tcPr>
            <w:tcW w:w="78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64"/>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40" w:type="dxa"/>
            <w:vAlign w:val="bottom"/>
            <w:tcBorders>
              <w:bottom w:val="single" w:sz="8" w:color="auto"/>
            </w:tcBorders>
            <w:gridSpan w:val="2"/>
          </w:tcPr>
          <w:p>
            <w:pPr>
              <w:ind w:left="4440"/>
              <w:spacing w:after="0"/>
              <w:rPr>
                <w:sz w:val="20"/>
                <w:szCs w:val="20"/>
                <w:color w:val="auto"/>
              </w:rPr>
            </w:pPr>
            <w:r>
              <w:rPr>
                <w:rFonts w:ascii="Times New Roman" w:cs="Times New Roman" w:eastAsia="Times New Roman" w:hAnsi="Times New Roman"/>
                <w:sz w:val="22"/>
                <w:szCs w:val="22"/>
                <w:color w:val="auto"/>
              </w:rPr>
              <w:t>3</w:t>
            </w: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 w:name="page5"/>
    <w:bookmarkEnd w:id="4"/>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USA Rare Earth, Inc.</w:t>
      </w:r>
    </w:p>
    <w:p>
      <w:pPr>
        <w:spacing w:after="0" w:line="229"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June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Valerie Ford Jacob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Valerie Ford Jacob</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Legal Officer</w:t>
      </w:r>
    </w:p>
    <w:p>
      <w:pPr>
        <w:spacing w:after="0" w:line="200" w:lineRule="exact"/>
        <w:rPr>
          <w:sz w:val="20"/>
          <w:szCs w:val="20"/>
          <w:color w:val="auto"/>
        </w:rPr>
      </w:pPr>
    </w:p>
    <w:p>
      <w:pPr>
        <w:spacing w:after="0" w:line="21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900" w:right="65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is derived from the historical consolidated financial statements of USA Rare Earth, Inc. (“USAR” or the “Company”), and the historical consolidated financial statements of SVRE Holdings Ltd. (“SVRE”), and gives effect to (i) the Merger (as defined below), (ii) the Private Placement (as defined below), (iii) the Retained Finance Agreement (as defined below), (iv) the Offtake Agreement (as defined below), and (v) the issuance of Earnout Shares (as defined below) (collectively, the “Pro Forma Transactions”).</w:t>
      </w:r>
    </w:p>
    <w:p>
      <w:pPr>
        <w:spacing w:after="0" w:line="180"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On August 21, 2024, Inflection Point Acquisition Corp. II, a Cayman Islands exempted company (“IPXX”) entered into a Business Combination Agreement (as amended on November 11, 2024 and January 30, 2025, the “Business Combination Agreement”), by and among IPXX, USA Rare Earth, LLC, a Delaware limited liability company, and IPXX Merger Sub, LLC, a Delaware limited liability company and a direct wholly owned subsidiary of IPXX. Pursuant to the Business Combination Agreement, IPXX Merger Sub, LLC merged with and into USA Rare Earth, LLC, with USA Rare Earth, LLC continuing as the surviving company, and IPXX changed its name to USA Rare Earth, Inc. On March 13, 2025, USAR consummated the previously announced merger contemplated by the Business Combination Agreement and USA Rare Earth, LLC became a direct wholly owned subsidiary of USAR. This transaction is already reflected in the USAR historical audited consolidated balance sheet as of December 31, 2025 and the historical statement of operations of IPXX from January 1, 2025 to March 12, 2025 is not material to the pro forma presentation of the Merger (as defined below) for the purpose of unaudited pro forma condensed combined statement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w:t>
      </w:r>
    </w:p>
    <w:p>
      <w:pPr>
        <w:spacing w:after="0" w:line="22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On April 19, 2026, USAR entered into a Merger Agreement by and among (i) USAR, (ii) Middlebury Merger Sub Ltd. (“Merger Sub”), (iii) SVRE, and (iv) Serra Verde Rare Earths Ltd. The Merger Agreement provides for the merger of SVRE with and into Merger Sub, with Merger Sub surviving such merger as an indirect, wholly owned subsidiary of USAR (the “Merger”), subject to the satisfaction or waiver of the conditions precedent to such closing. In the Merger, USAR will issue 126,849,307 shares of USAR’s common stock, par value $0.0001 per share (“Common Stock”) and pay an aggregate of $300 million of merger consideration.</w:t>
      </w:r>
    </w:p>
    <w:p>
      <w:pPr>
        <w:spacing w:after="0" w:line="183"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Upon closing, all outstanding warrants of SVRE will be automatically exercised and converted into SVRE ordinary shares immediately prior to the Merger. All outstanding RSUs and SARs, whether vested or unvested, will accelerate in full and be cancelled in exchange for a pro rata portion of the merger consideration. Stock options not subject to performance conditions will be similarly cancelled on a cashless basis for merger consideration, while performance-vesting options held by continuing service providers will be substituted with USAR RSUs subject to continued service vesting. SVRE’s equity incentive plan will be terminated at closing.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Private Placement</w:t>
      </w:r>
    </w:p>
    <w:p>
      <w:pPr>
        <w:spacing w:after="0" w:line="229"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On January 26, 2026, USAR, entered into a securities purchase agreement, for the private placement of 69,767,442 shares of the USAR’s Common Stock, for aggregate gross proceeds of approximately $1.5 billion, at a price per share of $21.50 (the “Private Placement”). USAR closed the Private Placement and issued the shares of Common Stock on January 28,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Parent Loan Agreement</w:t>
      </w:r>
    </w:p>
    <w:p>
      <w:pPr>
        <w:spacing w:after="0" w:line="22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On January 26, 2026, USAR also entered into non-binding letters of intent with the U.S. Department of Commerce (the “DOC”) covering a total of approximately $1.6 billion, including $277.0 million in direct funding awards under the Creating Helpful Incentives to Produce Semiconductors and Science Act (the “CHIPS Act”), and $1.3 billion in senior secured debt with a 15-year term with an expected rate of United States Treasury + 150 basis points (collectively, the “Expected U.S. Government Transaction”). Disbursement of the direct funding and debt proceeds to USAR is contingent upon USAR achieving certain project, financing and commercial milestones. The letter of intent for the Expected U.S. Government Transaction is non-binding and remains subject to negotiation and execution of definitive documentation (the “Definitive Agreements”), satisfaction of conditions precedent, and final government approvals. The Definitive Agreements were entered into on June 3, 2026. Considering that the Definitive Agreements require USAR to make investments and take future actions to receive funds, no adjustments for the Expected U.S. Government Transactions have been included within the unaudited pro forma condensed combined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The Retained Finance Agreement</w:t>
      </w:r>
    </w:p>
    <w:p>
      <w:pPr>
        <w:spacing w:after="0" w:line="22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On January 21, 2026, SVRE entered into a Finance Agreement with the United States International Development Finance Corporation (the “DFC”), which was amended on March 5, 2026 (as further amended from time to time, the “Retained Finance Agreement”). The Retained Finance Agreement provides SVRE with long-term debt financing to support its rare earth mining and processing operations in an aggregate committed amount not to exceed $565 million, consisting of (i) an initial loan tranche with a principal amount not to exceed $465 million and (ii) a second loan tranche with a principal amount not to exceed $100 million (the “Incremental Loan”). As of March 31, 2026, the aggregate outstanding principal amount of indebtedness of SVRE and its subsidiaries under the Retained Finance Agreement was $325 million. The Incremental Loan is required to be fully disbursed prior to the closing of the Merger. Because the effects of the Retained Finance Agreement were already reflected in the historical unaudited condensed consolidated balance sheet of SVRE as of March 31, 2026, no adjustment has been reflected within unaudited pro forma condensed combined balance sheet. Adjustments for the Retained Finance Agreement have been included within the unaudited pro forma condensed combined statement of operations for the three months ended March 31, 2026 and for the year ended December 31, 2025 assuming the Retained Finance Agreement was entered on January 1, 2025.</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Offtake Agreement</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On or about the date of the Merger Agreement, SV Management Switzerland AG (“SV Management Switzerland”), a subsidiary of SVRE, entered into an offtake agreement with a special purpose vehicle capitalized by the U.S. government, as well as private capital sources (the “Counterparty”) (as amended from time to time, the “Offtake Agreement”) for the long-term supply of rare earth materials produced by SVRE.</w:t>
      </w:r>
    </w:p>
    <w:p>
      <w:pPr>
        <w:spacing w:after="0" w:line="176"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Offtake Agreement provides for the sale of 100% of the rare earth products produced from phase one of the Pela Ema project, subject to limited carve-outs, although SVRE’s delivery obligation will be reduced to 75% of phase one production if the Incremental Loan is not fully disbursed by the agreed date. The agreement remains in effect until the earlier of specified production-based volume delivery thresholds and the date that is 20 years after the date on which SVRE’s facility becomes capable of producing the contemplated products (the “Commercial Operations Date”), unless extended with the consent of the U.S. government. Pricing is based on annually escalated contractual floor prices, with amounts above the applicable floor price, as well as certain cost savings and yield variances, allocated 70% to SV Management Switzerland and 30% to the Counterparty. Commencement of deliveries is subject to the satisfaction or waiver of specified conditions precedent by the agreed long-stop date, June 12, 2026, and either party may terminate the agreement without liability if such conditions are not satisfied or waived by that date. As the Offtake Agreement has been executed subsequent to March 31, 2026, adjustments related to the Offtake agreement have been included within the unaudited pro forma condensed combined financial statements.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of Earnout Shares</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the business combination between the Company and USA Rare Earth, LLC, the Company agreed to issue common stock of the Company (the “earnout shares”) to certain shareholders of USA Rare Earth, LLC in two tranches upon the occurrence of certain triggering events. On April 15, 2026, the Company achieved the market-price condition for the first tranche of earnout shares, as the Company’s common stock exceeded $15.00 per share for at least 20 out of 30 consecutive trading days. 5.05 million shares were issued to USA Rare Earth, LLC shareholders. The second tranche</w:t>
      </w:r>
    </w:p>
    <w:p>
      <w:pPr>
        <w:spacing w:after="0" w:line="3" w:lineRule="exact"/>
        <w:rPr>
          <w:sz w:val="20"/>
          <w:szCs w:val="20"/>
          <w:color w:val="auto"/>
        </w:rPr>
      </w:pPr>
    </w:p>
    <w:p>
      <w:pPr>
        <w:ind w:right="680"/>
        <w:spacing w:after="0" w:line="260" w:lineRule="auto"/>
        <w:rPr>
          <w:sz w:val="20"/>
          <w:szCs w:val="20"/>
          <w:color w:val="auto"/>
        </w:rPr>
      </w:pPr>
      <w:r>
        <w:rPr>
          <w:rFonts w:ascii="Times New Roman" w:cs="Times New Roman" w:eastAsia="Times New Roman" w:hAnsi="Times New Roman"/>
          <w:sz w:val="18"/>
          <w:szCs w:val="18"/>
          <w:color w:val="auto"/>
        </w:rPr>
        <w:t>of 5.05 million earnout shares were issued on May 15, 2026 when the Company achieved the market-price condition for the second tranche, as the Company’s common stock exceeds $20.00 per share for at least 20 out of 30 consecutive trading days.</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ind w:firstLine="324"/>
        <w:spacing w:after="0" w:line="266" w:lineRule="auto"/>
        <w:rPr>
          <w:sz w:val="20"/>
          <w:szCs w:val="20"/>
          <w:color w:val="auto"/>
        </w:rPr>
      </w:pPr>
      <w:r>
        <w:rPr>
          <w:rFonts w:ascii="Times New Roman" w:cs="Times New Roman" w:eastAsia="Times New Roman" w:hAnsi="Times New Roman"/>
          <w:sz w:val="18"/>
          <w:szCs w:val="18"/>
          <w:color w:val="auto"/>
        </w:rPr>
        <w:t>The earnout shares were classified as liabilities and remeasured at fair value on a recurring basis prior to conversion. Upon issuance of the two tranches of the earnout shares, the related earnout liability was reclassified to common stock and additional paid-in capital. The effect of the conversion has been included within the unaudited pro forma condensed combined balance sheet as of March 31,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Presentation Periods</w:t>
      </w:r>
    </w:p>
    <w:p>
      <w:pPr>
        <w:spacing w:after="0" w:line="22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in accordance with Article 11 of Regulation S-X and should be read in conjunction with the accompanying notes.</w:t>
      </w:r>
    </w:p>
    <w:p>
      <w:pPr>
        <w:spacing w:after="0" w:line="162"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March 31, 2026 combines the unaudited condensed consolidated balance sheet of USAR as of March 31, 2026 with the unaudited condensed consolidated balance sheet of SVRE as of March 31, 2026, giving effect to the Pro Forma Transactions as if it had been consummated on March 31, 2026.</w:t>
      </w:r>
    </w:p>
    <w:p>
      <w:pPr>
        <w:spacing w:after="0" w:line="176"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statement of operations for the three months ended March 31, 2026 combines the unaudited condensed consolidated statement of operations of USAR for the three months ended March 31, 2026 with the unaudited condensed consolidated statement of operations of SVRE for the three months ended March 31, 2026, giving effect to the Pro Forma Transactions as if it had been consummated on January 1, 2025.</w:t>
      </w:r>
    </w:p>
    <w:p>
      <w:pPr>
        <w:spacing w:after="0" w:line="180"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statement of operations for the year ended December 31, 2025 combines the audited consolidated statement of operations of USAR for the year ended December 31, 2025 with the audited consolidated statement of operations of SVRE for the year ended December 31, 2025, giving effect to the Pro Forma Transactions as if it had been consummated on January 1, 2025.</w:t>
      </w:r>
    </w:p>
    <w:p>
      <w:pPr>
        <w:spacing w:after="0" w:line="176"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was derived from, and should be read in conjunction with, the following historical financial statements and the accompanying notes:</w:t>
      </w:r>
    </w:p>
    <w:p>
      <w:pPr>
        <w:spacing w:after="0" w:line="162" w:lineRule="exact"/>
        <w:rPr>
          <w:sz w:val="20"/>
          <w:szCs w:val="20"/>
          <w:color w:val="auto"/>
        </w:rPr>
      </w:pPr>
    </w:p>
    <w:p>
      <w:pPr>
        <w:ind w:left="660" w:right="14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consolidated financial statements of USAR as of and for the year ended December 31, 2025, as included in the Company’s Annual Report on Form 10-K filed with the SEC on March 30, 2026;</w:t>
      </w:r>
    </w:p>
    <w:p>
      <w:pPr>
        <w:spacing w:after="0" w:line="16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condensed consolidated financial statements of USAR as of and for the three months ended March 31, 2026, as included in the Company’s Quarterly Report on Form 10-Q filed with the SEC on May 14, 2026;</w:t>
      </w:r>
    </w:p>
    <w:p>
      <w:pPr>
        <w:spacing w:after="0" w:line="161"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financial statements of SVRE as of and for the year ended December 31, 2025, included as Exhibit 99.3 in the Company’s Current Report on Form 8-K filed with the SEC on May 13, 2026.</w:t>
      </w:r>
    </w:p>
    <w:p>
      <w:pPr>
        <w:spacing w:after="0" w:line="162" w:lineRule="exact"/>
        <w:rPr>
          <w:sz w:val="20"/>
          <w:szCs w:val="20"/>
          <w:color w:val="auto"/>
        </w:rPr>
      </w:pPr>
    </w:p>
    <w:p>
      <w:pPr>
        <w:jc w:val="both"/>
        <w:ind w:right="220" w:firstLine="324"/>
        <w:spacing w:after="0" w:line="266" w:lineRule="auto"/>
        <w:rPr>
          <w:sz w:val="20"/>
          <w:szCs w:val="20"/>
          <w:color w:val="auto"/>
        </w:rPr>
      </w:pPr>
      <w:r>
        <w:rPr>
          <w:rFonts w:ascii="Times New Roman" w:cs="Times New Roman" w:eastAsia="Times New Roman" w:hAnsi="Times New Roman"/>
          <w:sz w:val="18"/>
          <w:szCs w:val="18"/>
          <w:color w:val="auto"/>
        </w:rPr>
        <w:t>The historical unaudited condensed consolidated balance sheet and statement of operations of SVRE as of and for the three months ended March 31, 2026 are derived from the books and records of SVRE. The unaudited pro forma condensed combined financial information should also be read together with other financial information included elsewhere or filed with the SEC.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for the Merger</w:t>
      </w:r>
    </w:p>
    <w:p>
      <w:pPr>
        <w:spacing w:after="0" w:line="22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using the acquisition method of accounting in accordance with accounting principles generally accepted in the United States (“U.S. GAAP”). USAR has been identified as an accounting acquirer for accounting purposes, and thus accounts for the Merger as a business combination in accordance with Accounting Standards Codification Topic 805, Business Combinations (“ASC 805”). Under the acquisition method of accounting, SVRE’s assets and liabilities will be recorded at their respective fair values. Any difference between the purchase price for SVRE and the fair value of the identifiable net assets acquired (including intangibles) will be recorded as goodwill. The assets and liabilities of SVRE have been measured based on various preliminary estimates using assumptions that USAR’s management believes are reasonable and based on currently available information. Accordingly, the pro forma adjustments are preliminary and have been made solely for the purpose of providing this unaudited pro forma condensed combined financial information.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Differences between these preliminary estimates and the final purchase accounting may occur, and the final purchase accounting could be materially different from the preliminary estimates used to prepare the accompanying unaudited pro forma condensed combined financial information and could have a material impact on the combined company’s future results of operations and financial position.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Pro Forma Presentation</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appearing below does not consider any potential effects of changes in market conditions on revenues or expense efficiencies, among other factors. In addition, as explained in more detail in the accompanying notes, the preliminary allocation of the pro forma purchase price reflected in the unaudited pro forma condensed combined financial information is subject to adjustment and may vary significantly from what will be recorded upon completion of the final purchase price allocation.</w:t>
      </w:r>
    </w:p>
    <w:p>
      <w:pPr>
        <w:spacing w:after="0" w:line="180"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based on the aforementioned historical financial statements and the assumptions and adjustments as described in the notes to the unaudited pro forma condensed combined financial information. The pro forma adjustments reflect transaction accounting adjustments related to the Pro Forma Transactions, which are discussed in further detail below. The unaudited pro forma condensed combined financial information is presented for illustrative purposes only and do not purport to represent the combined company’s consolidated results of operations or the consolidated financial position that would actually have occurred had the Pro Forma Transactions been consummated on the dates assumed or to project the combined company’s consolidated results of operations or consolidated financial position for any future date or period.</w:t>
      </w:r>
    </w:p>
    <w:p>
      <w:pPr>
        <w:spacing w:after="0" w:line="18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accounting policies followed in preparing the unaudited pro forma condensed combined financial information are those used by USAR as set forth in the audited historical financial statements. The unaudited pro forma condensed combined financial information reflects any material adjustments known at this time to conform SVRE historical financial information to USAR’s significant accounting policies based on the Company’s initial review and understanding of SVRE’s significant accounting policies. A more comprehensive comparison and assessment will occur, which may result in additional differences being identified. Additionally, USAR has included certain preliminary presentation adjustments for consistency in the financial statement presentation. See Notes 2 and 3 below for more information.</w:t>
      </w:r>
    </w:p>
    <w:p>
      <w:pPr>
        <w:spacing w:after="0" w:line="187"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presented for illustrative purposes only and does not reflect the costs of any integration activities or cost savings or synergies that may be achieved because of the Merger.</w:t>
      </w:r>
    </w:p>
    <w:p>
      <w:pPr>
        <w:spacing w:after="0" w:line="162"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USAR and SVRE have not had any historical material relationship prior to the Merger. Accordingly, no pro forma adjustments were required to eliminate activities between the companies.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Transaction</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Pro</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USAR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SVRE</w:t>
            </w:r>
          </w:p>
        </w:tc>
        <w:tc>
          <w:tcPr>
            <w:tcW w:w="40" w:type="dxa"/>
            <w:vAlign w:val="bottom"/>
          </w:tcPr>
          <w:p>
            <w:pPr>
              <w:spacing w:after="0"/>
              <w:rPr>
                <w:sz w:val="18"/>
                <w:szCs w:val="18"/>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Presentation</w:t>
            </w:r>
          </w:p>
        </w:tc>
        <w:tc>
          <w:tcPr>
            <w:tcW w:w="34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Accounting</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rPr>
              <w:t>Material</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Forma</w:t>
            </w:r>
          </w:p>
        </w:tc>
        <w:tc>
          <w:tcPr>
            <w:tcW w:w="0" w:type="dxa"/>
            <w:vAlign w:val="bottom"/>
          </w:tcPr>
          <w:p>
            <w:pPr>
              <w:spacing w:after="0"/>
              <w:rPr>
                <w:sz w:val="1"/>
                <w:szCs w:val="1"/>
                <w:color w:val="auto"/>
              </w:rPr>
            </w:pPr>
          </w:p>
        </w:tc>
      </w:tr>
      <w:tr>
        <w:trPr>
          <w:trHeight w:val="245"/>
        </w:trPr>
        <w:tc>
          <w:tcPr>
            <w:tcW w:w="4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20" w:type="dxa"/>
            <w:vAlign w:val="bottom"/>
          </w:tcPr>
          <w:p>
            <w:pPr>
              <w:spacing w:after="0"/>
              <w:rPr>
                <w:sz w:val="21"/>
                <w:szCs w:val="21"/>
                <w:color w:val="auto"/>
              </w:rPr>
            </w:pP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104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380" w:type="dxa"/>
            <w:vAlign w:val="bottom"/>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300" w:type="dxa"/>
            <w:vAlign w:val="bottom"/>
          </w:tcPr>
          <w:p>
            <w:pPr>
              <w:spacing w:after="0"/>
              <w:rPr>
                <w:sz w:val="21"/>
                <w:szCs w:val="21"/>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Transactions</w:t>
            </w:r>
          </w:p>
        </w:tc>
        <w:tc>
          <w:tcPr>
            <w:tcW w:w="320" w:type="dxa"/>
            <w:vAlign w:val="bottom"/>
          </w:tcPr>
          <w:p>
            <w:pPr>
              <w:spacing w:after="0"/>
              <w:rPr>
                <w:sz w:val="21"/>
                <w:szCs w:val="21"/>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Combined</w:t>
            </w:r>
          </w:p>
        </w:tc>
        <w:tc>
          <w:tcPr>
            <w:tcW w:w="0" w:type="dxa"/>
            <w:vAlign w:val="bottom"/>
          </w:tcPr>
          <w:p>
            <w:pPr>
              <w:spacing w:after="0"/>
              <w:rPr>
                <w:sz w:val="1"/>
                <w:szCs w:val="1"/>
                <w:color w:val="auto"/>
              </w:rPr>
            </w:pPr>
          </w:p>
        </w:tc>
      </w:tr>
      <w:tr>
        <w:trPr>
          <w:trHeight w:val="198"/>
        </w:trPr>
        <w:tc>
          <w:tcPr>
            <w:tcW w:w="4360" w:type="dxa"/>
            <w:vAlign w:val="bottom"/>
          </w:tcPr>
          <w:p>
            <w:pPr>
              <w:ind w:left="1860"/>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1,749,644</w:t>
            </w: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110,417</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(300,000)(B)</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1,560,061</w:t>
            </w: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5,691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5,722</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receivables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241</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(241)(A)</w:t>
            </w: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28,430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21,231</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49,661</w:t>
            </w:r>
          </w:p>
        </w:tc>
        <w:tc>
          <w:tcPr>
            <w:tcW w:w="0" w:type="dxa"/>
            <w:vAlign w:val="bottom"/>
          </w:tcPr>
          <w:p>
            <w:pPr>
              <w:spacing w:after="0"/>
              <w:rPr>
                <w:sz w:val="1"/>
                <w:szCs w:val="1"/>
                <w:color w:val="auto"/>
              </w:rPr>
            </w:pPr>
          </w:p>
        </w:tc>
      </w:tr>
      <w:tr>
        <w:trPr>
          <w:trHeight w:val="250"/>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6,621</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3,760</w:t>
            </w: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241</w:t>
            </w:r>
          </w:p>
        </w:tc>
        <w:tc>
          <w:tcPr>
            <w:tcW w:w="5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(A)</w:t>
            </w:r>
          </w:p>
        </w:tc>
        <w:tc>
          <w:tcPr>
            <w:tcW w:w="8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10,622</w:t>
            </w:r>
          </w:p>
        </w:tc>
        <w:tc>
          <w:tcPr>
            <w:tcW w:w="0" w:type="dxa"/>
            <w:vAlign w:val="bottom"/>
          </w:tcPr>
          <w:p>
            <w:pPr>
              <w:spacing w:after="0"/>
              <w:rPr>
                <w:sz w:val="1"/>
                <w:szCs w:val="1"/>
                <w:color w:val="auto"/>
              </w:rPr>
            </w:pPr>
          </w:p>
        </w:tc>
      </w:tr>
      <w:tr>
        <w:trPr>
          <w:trHeight w:val="203"/>
        </w:trPr>
        <w:tc>
          <w:tcPr>
            <w:tcW w:w="4360" w:type="dxa"/>
            <w:vAlign w:val="bottom"/>
            <w:tcBorders>
              <w:top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1,790,386</w:t>
            </w: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135,680</w:t>
            </w:r>
          </w:p>
        </w:tc>
        <w:tc>
          <w:tcPr>
            <w:tcW w:w="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(300,000)</w:t>
            </w:r>
          </w:p>
        </w:tc>
        <w:tc>
          <w:tcPr>
            <w:tcW w:w="6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1,626,066</w:t>
            </w:r>
          </w:p>
        </w:tc>
        <w:tc>
          <w:tcPr>
            <w:tcW w:w="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118,967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611,588</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5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(A)</w:t>
            </w: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2,510,291 (B)</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3,227,041</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4"/>
          </w:tcPr>
          <w:p>
            <w:pPr>
              <w:jc w:val="right"/>
              <w:ind w:right="150"/>
              <w:spacing w:after="0"/>
              <w:rPr>
                <w:sz w:val="20"/>
                <w:szCs w:val="20"/>
                <w:color w:val="auto"/>
              </w:rPr>
            </w:pPr>
            <w:r>
              <w:rPr>
                <w:rFonts w:ascii="Times New Roman" w:cs="Times New Roman" w:eastAsia="Times New Roman" w:hAnsi="Times New Roman"/>
                <w:sz w:val="18"/>
                <w:szCs w:val="18"/>
                <w:color w:val="auto"/>
              </w:rPr>
              <w:t>(14,805)(A)</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Mineral interests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17,339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14,805</w:t>
            </w:r>
          </w:p>
        </w:tc>
        <w:tc>
          <w:tcPr>
            <w:tcW w:w="5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(A)</w:t>
            </w: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32,144</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134,848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1,321,414</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1"/>
              </w:rPr>
              <w:t>(B)</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1,456,262</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67,255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246,691</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(B)</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313,946</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Equipment deposits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5,364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5,364</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473</w:t>
            </w:r>
          </w:p>
        </w:tc>
        <w:tc>
          <w:tcPr>
            <w:tcW w:w="0" w:type="dxa"/>
            <w:vAlign w:val="bottom"/>
          </w:tcPr>
          <w:p>
            <w:pPr>
              <w:spacing w:after="0"/>
              <w:rPr>
                <w:sz w:val="1"/>
                <w:szCs w:val="1"/>
                <w:color w:val="auto"/>
              </w:rPr>
            </w:pPr>
          </w:p>
        </w:tc>
      </w:tr>
      <w:tr>
        <w:trPr>
          <w:trHeight w:val="237"/>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1,193</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gridSpan w:val="4"/>
          </w:tcPr>
          <w:p>
            <w:pPr>
              <w:jc w:val="right"/>
              <w:ind w:right="150"/>
              <w:spacing w:after="0"/>
              <w:rPr>
                <w:sz w:val="20"/>
                <w:szCs w:val="20"/>
                <w:color w:val="auto"/>
              </w:rPr>
            </w:pPr>
            <w:r>
              <w:rPr>
                <w:rFonts w:ascii="Times New Roman" w:cs="Times New Roman" w:eastAsia="Times New Roman" w:hAnsi="Times New Roman"/>
                <w:sz w:val="18"/>
                <w:szCs w:val="18"/>
                <w:color w:val="auto"/>
              </w:rPr>
              <w:t>(1,000)(A)</w:t>
            </w: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23"/>
        </w:trPr>
        <w:tc>
          <w:tcPr>
            <w:tcW w:w="43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2,134,839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748,461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3,778,396</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6,661,696</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ind w:left="900"/>
              <w:spacing w:after="0" w:line="194" w:lineRule="exact"/>
              <w:rPr>
                <w:sz w:val="20"/>
                <w:szCs w:val="20"/>
                <w:color w:val="auto"/>
              </w:rPr>
            </w:pPr>
            <w:r>
              <w:rPr>
                <w:rFonts w:ascii="Times New Roman" w:cs="Times New Roman" w:eastAsia="Times New Roman" w:hAnsi="Times New Roman"/>
                <w:sz w:val="18"/>
                <w:szCs w:val="18"/>
                <w:b w:val="1"/>
                <w:bCs w:val="1"/>
                <w:color w:val="auto"/>
              </w:rPr>
              <w:t>LIABILITIES, MEZZANINE AND</w:t>
            </w: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43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436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liabilities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17,084</w:t>
            </w: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15,647</w:t>
            </w: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4"/>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(6,702)(A)</w:t>
            </w: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26,029</w:t>
            </w:r>
          </w:p>
        </w:tc>
        <w:tc>
          <w:tcPr>
            <w:tcW w:w="0" w:type="dxa"/>
            <w:vAlign w:val="bottom"/>
          </w:tcPr>
          <w:p>
            <w:pPr>
              <w:spacing w:after="0"/>
              <w:rPr>
                <w:sz w:val="1"/>
                <w:szCs w:val="1"/>
                <w:color w:val="auto"/>
              </w:rPr>
            </w:pPr>
          </w:p>
        </w:tc>
      </w:tr>
      <w:tr>
        <w:trPr>
          <w:trHeight w:val="216"/>
        </w:trPr>
        <w:tc>
          <w:tcPr>
            <w:tcW w:w="4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21,360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13,190</w:t>
            </w:r>
          </w:p>
        </w:tc>
        <w:tc>
          <w:tcPr>
            <w:tcW w:w="5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(A)</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113,000 (C)</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147,995</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445</w:t>
            </w:r>
          </w:p>
        </w:tc>
        <w:tc>
          <w:tcPr>
            <w:tcW w:w="5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(A)</w:t>
            </w: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Contract liabilities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10,377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10,377</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Salaries and social charges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6,488</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(6,488)(A)</w:t>
            </w: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Taxes payable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414</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445</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(445)(A)</w:t>
            </w: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Royalty agreement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11,443</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11,443</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DFC Loan</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2,232</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2,232</w:t>
            </w:r>
          </w:p>
        </w:tc>
        <w:tc>
          <w:tcPr>
            <w:tcW w:w="0" w:type="dxa"/>
            <w:vAlign w:val="bottom"/>
          </w:tcPr>
          <w:p>
            <w:pPr>
              <w:spacing w:after="0"/>
              <w:rPr>
                <w:sz w:val="1"/>
                <w:szCs w:val="1"/>
                <w:color w:val="auto"/>
              </w:rPr>
            </w:pPr>
          </w:p>
        </w:tc>
      </w:tr>
      <w:tr>
        <w:trPr>
          <w:trHeight w:val="216"/>
        </w:trPr>
        <w:tc>
          <w:tcPr>
            <w:tcW w:w="4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Finance leases, current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933</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1,219</w:t>
            </w:r>
          </w:p>
        </w:tc>
        <w:tc>
          <w:tcPr>
            <w:tcW w:w="0" w:type="dxa"/>
            <w:vAlign w:val="bottom"/>
          </w:tcPr>
          <w:p>
            <w:pPr>
              <w:spacing w:after="0"/>
              <w:rPr>
                <w:sz w:val="1"/>
                <w:szCs w:val="1"/>
                <w:color w:val="auto"/>
              </w:rPr>
            </w:pPr>
          </w:p>
        </w:tc>
      </w:tr>
      <w:tr>
        <w:trPr>
          <w:trHeight w:val="250"/>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leases, current</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232</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03"/>
        </w:trPr>
        <w:tc>
          <w:tcPr>
            <w:tcW w:w="4360" w:type="dxa"/>
            <w:vAlign w:val="bottom"/>
            <w:tcBorders>
              <w:top w:val="single" w:sz="8" w:color="CCEEFF"/>
            </w:tcBorders>
          </w:tcPr>
          <w:p>
            <w:pPr>
              <w:ind w:left="540"/>
              <w:spacing w:after="0" w:line="203" w:lineRule="exact"/>
              <w:rPr>
                <w:sz w:val="20"/>
                <w:szCs w:val="20"/>
                <w:color w:val="auto"/>
              </w:rPr>
            </w:pPr>
            <w:r>
              <w:rPr>
                <w:rFonts w:ascii="Times New Roman" w:cs="Times New Roman" w:eastAsia="Times New Roman" w:hAnsi="Times New Roman"/>
                <w:sz w:val="18"/>
                <w:szCs w:val="18"/>
                <w:color w:val="auto"/>
              </w:rPr>
              <w:t>Total current liabilities</w:t>
            </w: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49,339</w:t>
            </w: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37,602</w:t>
            </w:r>
          </w:p>
        </w:tc>
        <w:tc>
          <w:tcPr>
            <w:tcW w:w="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113,000</w:t>
            </w:r>
          </w:p>
        </w:tc>
        <w:tc>
          <w:tcPr>
            <w:tcW w:w="6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199,941</w:t>
            </w:r>
          </w:p>
        </w:tc>
        <w:tc>
          <w:tcPr>
            <w:tcW w:w="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Royalty agreement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65,534</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149,881</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(B)</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215,415</w:t>
            </w: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DFC Loan</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297,009</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297,009</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4,738</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4,738</w:t>
            </w: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grant income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8,414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8,414</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leases, non-current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180</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699</w:t>
            </w: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leases, non-current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1,564</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1,564</w:t>
            </w: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Earnout liability</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145,080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color w:val="auto"/>
              </w:rPr>
              <w:t>(145,080) (D)</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 liability</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26,491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14,841</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(14,841)(B)</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26,491</w:t>
            </w:r>
          </w:p>
        </w:tc>
        <w:tc>
          <w:tcPr>
            <w:tcW w:w="0" w:type="dxa"/>
            <w:vAlign w:val="bottom"/>
          </w:tcPr>
          <w:p>
            <w:pPr>
              <w:spacing w:after="0"/>
              <w:rPr>
                <w:sz w:val="1"/>
                <w:szCs w:val="1"/>
                <w:color w:val="auto"/>
              </w:rPr>
            </w:pPr>
          </w:p>
        </w:tc>
      </w:tr>
      <w:tr>
        <w:trPr>
          <w:trHeight w:val="236"/>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liability</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16,179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886,414</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1"/>
              </w:rPr>
              <w:t>(B)</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902,593</w:t>
            </w:r>
          </w:p>
        </w:tc>
        <w:tc>
          <w:tcPr>
            <w:tcW w:w="0" w:type="dxa"/>
            <w:vAlign w:val="bottom"/>
          </w:tcPr>
          <w:p>
            <w:pPr>
              <w:spacing w:after="0"/>
              <w:rPr>
                <w:sz w:val="1"/>
                <w:szCs w:val="1"/>
                <w:color w:val="auto"/>
              </w:rPr>
            </w:pPr>
          </w:p>
        </w:tc>
      </w:tr>
      <w:tr>
        <w:trPr>
          <w:trHeight w:val="236"/>
        </w:trPr>
        <w:tc>
          <w:tcPr>
            <w:tcW w:w="43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421,468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1,134,454</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(145,080</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1,657,108</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36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Commitments and contingencies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Mezzanine equity</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12% Series A Cumulative Convertible Preferred Stock</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9,614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9,614</w:t>
            </w:r>
          </w:p>
        </w:tc>
        <w:tc>
          <w:tcPr>
            <w:tcW w:w="0" w:type="dxa"/>
            <w:vAlign w:val="bottom"/>
          </w:tcPr>
          <w:p>
            <w:pPr>
              <w:spacing w:after="0"/>
              <w:rPr>
                <w:sz w:val="1"/>
                <w:szCs w:val="1"/>
                <w:color w:val="auto"/>
              </w:rPr>
            </w:pPr>
          </w:p>
        </w:tc>
      </w:tr>
      <w:tr>
        <w:trPr>
          <w:trHeight w:val="236"/>
        </w:trPr>
        <w:tc>
          <w:tcPr>
            <w:tcW w:w="43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mezzanine equity</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9,614</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36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Stockholders’ equity</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(B)</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5"/>
              </w:rPr>
              <w:t>(D)</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(18,126)</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18,126</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1"/>
              </w:rPr>
              <w:t>(B)</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2,332,912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615,756</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(615,756)(B)</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215,826</w:t>
            </w:r>
          </w:p>
        </w:tc>
        <w:tc>
          <w:tcPr>
            <w:tcW w:w="4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5"/>
              </w:rPr>
              <w:t>(D)</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5,632,657</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3,083,919</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1"/>
              </w:rPr>
              <w:t>(B)</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(454,349)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(270,637)</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270,637</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(B)</w:t>
            </w:r>
          </w:p>
        </w:tc>
        <w:tc>
          <w:tcPr>
            <w:tcW w:w="1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(70,747) (D)</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(638,096)</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(113,000)(C)</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574</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574</w:t>
            </w:r>
          </w:p>
        </w:tc>
        <w:tc>
          <w:tcPr>
            <w:tcW w:w="0" w:type="dxa"/>
            <w:vAlign w:val="bottom"/>
          </w:tcPr>
          <w:p>
            <w:pPr>
              <w:spacing w:after="0"/>
              <w:rPr>
                <w:sz w:val="1"/>
                <w:szCs w:val="1"/>
                <w:color w:val="auto"/>
              </w:rPr>
            </w:pPr>
          </w:p>
        </w:tc>
      </w:tr>
      <w:tr>
        <w:trPr>
          <w:trHeight w:val="210"/>
        </w:trPr>
        <w:tc>
          <w:tcPr>
            <w:tcW w:w="4360" w:type="dxa"/>
            <w:vAlign w:val="bottom"/>
            <w:tcBorders>
              <w:top w:val="single" w:sz="8" w:color="CCEEFF"/>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stockholders’ equity</w:t>
            </w:r>
          </w:p>
        </w:tc>
        <w:tc>
          <w:tcPr>
            <w:tcW w:w="6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1,878,959</w:t>
            </w:r>
          </w:p>
        </w:tc>
        <w:tc>
          <w:tcPr>
            <w:tcW w:w="10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326,993</w:t>
            </w:r>
          </w:p>
        </w:tc>
        <w:tc>
          <w:tcPr>
            <w:tcW w:w="80" w:type="dxa"/>
            <w:vAlign w:val="bottom"/>
            <w:tcBorders>
              <w:top w:val="single" w:sz="8" w:color="CCEEFF"/>
              <w:bottom w:val="single" w:sz="8" w:color="CCEEFF"/>
            </w:tcBorders>
          </w:tcPr>
          <w:p>
            <w:pPr>
              <w:spacing w:after="0"/>
              <w:rPr>
                <w:sz w:val="18"/>
                <w:szCs w:val="18"/>
                <w:color w:val="auto"/>
              </w:rPr>
            </w:pPr>
          </w:p>
        </w:tc>
        <w:tc>
          <w:tcPr>
            <w:tcW w:w="4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tcPr>
          <w:p>
            <w:pPr>
              <w:spacing w:after="0"/>
              <w:rPr>
                <w:sz w:val="18"/>
                <w:szCs w:val="18"/>
                <w:color w:val="auto"/>
              </w:rPr>
            </w:pPr>
          </w:p>
        </w:tc>
        <w:tc>
          <w:tcPr>
            <w:tcW w:w="34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2,643,942</w:t>
            </w:r>
          </w:p>
        </w:tc>
        <w:tc>
          <w:tcPr>
            <w:tcW w:w="6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145,080</w:t>
            </w:r>
          </w:p>
        </w:tc>
        <w:tc>
          <w:tcPr>
            <w:tcW w:w="8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4,994,974</w:t>
            </w:r>
          </w:p>
        </w:tc>
        <w:tc>
          <w:tcPr>
            <w:tcW w:w="6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mezzanine equity, and stockholder’s equity</w:t>
            </w: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2,134,839</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748,461</w:t>
            </w: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3,778,396</w:t>
            </w:r>
          </w:p>
        </w:tc>
        <w:tc>
          <w:tcPr>
            <w:tcW w:w="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6,661,696</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Please refer to the notes to the unaudited pro forma condensed combined financial information.</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52" w:right="339" w:bottom="704"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Transaction</w:t>
            </w:r>
          </w:p>
        </w:tc>
        <w:tc>
          <w:tcPr>
            <w:tcW w:w="140" w:type="dxa"/>
            <w:vAlign w:val="bottom"/>
          </w:tcPr>
          <w:p>
            <w:pPr>
              <w:spacing w:after="0"/>
              <w:rPr>
                <w:sz w:val="18"/>
                <w:szCs w:val="18"/>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USAR</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SVRE</w:t>
            </w: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Presentation</w:t>
            </w:r>
          </w:p>
        </w:tc>
        <w:tc>
          <w:tcPr>
            <w:tcW w:w="460" w:type="dxa"/>
            <w:vAlign w:val="bottom"/>
          </w:tcPr>
          <w:p>
            <w:pPr>
              <w:spacing w:after="0"/>
              <w:rPr>
                <w:sz w:val="18"/>
                <w:szCs w:val="18"/>
                <w:color w:val="auto"/>
              </w:rPr>
            </w:pPr>
          </w:p>
        </w:tc>
        <w:tc>
          <w:tcPr>
            <w:tcW w:w="15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Accounting</w:t>
            </w:r>
          </w:p>
        </w:tc>
        <w:tc>
          <w:tcPr>
            <w:tcW w:w="140" w:type="dxa"/>
            <w:vAlign w:val="bottom"/>
          </w:tcPr>
          <w:p>
            <w:pPr>
              <w:spacing w:after="0"/>
              <w:rPr>
                <w:sz w:val="18"/>
                <w:szCs w:val="18"/>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Material</w:t>
            </w:r>
          </w:p>
        </w:tc>
        <w:tc>
          <w:tcPr>
            <w:tcW w:w="48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Pro Forma</w:t>
            </w:r>
          </w:p>
        </w:tc>
      </w:tr>
      <w:tr>
        <w:trPr>
          <w:trHeight w:val="245"/>
        </w:trPr>
        <w:tc>
          <w:tcPr>
            <w:tcW w:w="3740" w:type="dxa"/>
            <w:vAlign w:val="bottom"/>
          </w:tcPr>
          <w:p>
            <w:pPr>
              <w:spacing w:after="0"/>
              <w:rPr>
                <w:sz w:val="21"/>
                <w:szCs w:val="21"/>
                <w:color w:val="auto"/>
              </w:rPr>
            </w:pPr>
          </w:p>
        </w:tc>
        <w:tc>
          <w:tcPr>
            <w:tcW w:w="94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40" w:type="dxa"/>
            <w:vAlign w:val="bottom"/>
          </w:tcPr>
          <w:p>
            <w:pPr>
              <w:spacing w:after="0"/>
              <w:rPr>
                <w:sz w:val="21"/>
                <w:szCs w:val="21"/>
                <w:color w:val="auto"/>
              </w:rPr>
            </w:pPr>
          </w:p>
        </w:tc>
        <w:tc>
          <w:tcPr>
            <w:tcW w:w="98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460" w:type="dxa"/>
            <w:vAlign w:val="bottom"/>
          </w:tcPr>
          <w:p>
            <w:pPr>
              <w:spacing w:after="0"/>
              <w:rPr>
                <w:sz w:val="21"/>
                <w:szCs w:val="21"/>
                <w:color w:val="auto"/>
              </w:rPr>
            </w:pPr>
          </w:p>
        </w:tc>
        <w:tc>
          <w:tcPr>
            <w:tcW w:w="1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06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7"/>
              </w:rPr>
              <w:t>Transactions</w:t>
            </w:r>
          </w:p>
        </w:tc>
        <w:tc>
          <w:tcPr>
            <w:tcW w:w="480" w:type="dxa"/>
            <w:vAlign w:val="bottom"/>
          </w:tcPr>
          <w:p>
            <w:pPr>
              <w:spacing w:after="0"/>
              <w:rPr>
                <w:sz w:val="21"/>
                <w:szCs w:val="21"/>
                <w:color w:val="auto"/>
              </w:rPr>
            </w:pPr>
          </w:p>
        </w:tc>
        <w:tc>
          <w:tcPr>
            <w:tcW w:w="9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Combined</w:t>
            </w:r>
          </w:p>
        </w:tc>
      </w:tr>
      <w:tr>
        <w:trPr>
          <w:trHeight w:val="216"/>
        </w:trPr>
        <w:tc>
          <w:tcPr>
            <w:tcW w:w="3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5,698</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6,286</w:t>
            </w:r>
          </w:p>
        </w:tc>
        <w:tc>
          <w:tcPr>
            <w:tcW w:w="60" w:type="dxa"/>
            <w:vAlign w:val="bottom"/>
            <w:tcBorders>
              <w:top w:val="single" w:sz="8" w:color="CCEEFF"/>
            </w:tcBorders>
            <w:shd w:val="clear" w:color="auto" w:fill="CCEEFF"/>
          </w:tcPr>
          <w:p>
            <w:pPr>
              <w:spacing w:after="0"/>
              <w:rPr>
                <w:sz w:val="18"/>
                <w:szCs w:val="18"/>
                <w:color w:val="auto"/>
              </w:rPr>
            </w:pPr>
          </w:p>
        </w:tc>
      </w:tr>
      <w:tr>
        <w:trPr>
          <w:trHeight w:val="237"/>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tcPr>
          <w:p>
            <w:pPr>
              <w:spacing w:after="0"/>
              <w:rPr>
                <w:sz w:val="20"/>
                <w:szCs w:val="20"/>
                <w:color w:val="auto"/>
              </w:rPr>
            </w:pPr>
          </w:p>
        </w:tc>
        <w:tc>
          <w:tcPr>
            <w:tcW w:w="8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5,592</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5,009</w:t>
            </w: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10,601</w:t>
            </w:r>
          </w:p>
        </w:tc>
      </w:tr>
      <w:tr>
        <w:trPr>
          <w:trHeight w:val="216"/>
        </w:trPr>
        <w:tc>
          <w:tcPr>
            <w:tcW w:w="37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(4,421)</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21,175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8,026</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346</w:t>
            </w:r>
          </w:p>
        </w:tc>
        <w:tc>
          <w:tcPr>
            <w:tcW w:w="76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94"/>
              </w:rPr>
              <w:t>(AA)</w:t>
            </w:r>
          </w:p>
        </w:tc>
        <w:tc>
          <w:tcPr>
            <w:tcW w:w="122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1,610 (DD)</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31,157</w:t>
            </w:r>
          </w:p>
        </w:tc>
      </w:tr>
      <w:tr>
        <w:trPr>
          <w:trHeight w:val="216"/>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spacing w:after="0"/>
              <w:rPr>
                <w:sz w:val="18"/>
                <w:szCs w:val="18"/>
                <w:color w:val="auto"/>
              </w:rPr>
            </w:pPr>
          </w:p>
        </w:tc>
        <w:tc>
          <w:tcPr>
            <w:tcW w:w="8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14,249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14,249</w:t>
            </w:r>
          </w:p>
        </w:tc>
      </w:tr>
      <w:tr>
        <w:trPr>
          <w:trHeight w:val="216"/>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1,357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w:t>
            </w:r>
          </w:p>
        </w:tc>
      </w:tr>
      <w:tr>
        <w:trPr>
          <w:trHeight w:val="237"/>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expenses, net</w:t>
            </w:r>
          </w:p>
        </w:tc>
        <w:tc>
          <w:tcPr>
            <w:tcW w:w="120" w:type="dxa"/>
            <w:vAlign w:val="bottom"/>
          </w:tcPr>
          <w:p>
            <w:pPr>
              <w:spacing w:after="0"/>
              <w:rPr>
                <w:sz w:val="20"/>
                <w:szCs w:val="20"/>
                <w:color w:val="auto"/>
              </w:rPr>
            </w:pPr>
          </w:p>
        </w:tc>
        <w:tc>
          <w:tcPr>
            <w:tcW w:w="8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2,365</w:t>
            </w: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2,365</w:t>
            </w:r>
          </w:p>
        </w:tc>
      </w:tr>
      <w:tr>
        <w:trPr>
          <w:trHeight w:val="236"/>
        </w:trPr>
        <w:tc>
          <w:tcPr>
            <w:tcW w:w="37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5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49,128</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3740" w:type="dxa"/>
            <w:vAlign w:val="bottom"/>
          </w:tcPr>
          <w:p>
            <w:pPr>
              <w:ind w:left="500"/>
              <w:spacing w:after="0" w:line="203" w:lineRule="exact"/>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(36,675)</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(14,812)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(346)</w:t>
            </w: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(1,610)</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(53,443)</w:t>
            </w:r>
          </w:p>
        </w:tc>
        <w:tc>
          <w:tcPr>
            <w:tcW w:w="60" w:type="dxa"/>
            <w:vAlign w:val="bottom"/>
          </w:tcPr>
          <w:p>
            <w:pPr>
              <w:spacing w:after="0"/>
              <w:rPr>
                <w:sz w:val="17"/>
                <w:szCs w:val="17"/>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120" w:type="dxa"/>
            <w:vAlign w:val="bottom"/>
          </w:tcPr>
          <w:p>
            <w:pPr>
              <w:spacing w:after="0"/>
              <w:rPr>
                <w:sz w:val="18"/>
                <w:szCs w:val="18"/>
                <w:color w:val="auto"/>
              </w:rPr>
            </w:pPr>
          </w:p>
        </w:tc>
        <w:tc>
          <w:tcPr>
            <w:tcW w:w="8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11,970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175</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12,145</w:t>
            </w:r>
          </w:p>
        </w:tc>
      </w:tr>
      <w:tr>
        <w:trPr>
          <w:trHeight w:val="198"/>
        </w:trPr>
        <w:tc>
          <w:tcPr>
            <w:tcW w:w="37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Loss on fair market value of financial</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3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instruments, net</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(43,553)</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1520" w:type="dxa"/>
            <w:vAlign w:val="bottom"/>
            <w:gridSpan w:val="4"/>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(6,216)(AA)</w:t>
            </w:r>
          </w:p>
        </w:tc>
        <w:tc>
          <w:tcPr>
            <w:tcW w:w="7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6,216</w:t>
            </w:r>
          </w:p>
        </w:tc>
        <w:tc>
          <w:tcPr>
            <w:tcW w:w="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(EE)</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(43,553)</w:t>
            </w:r>
          </w:p>
        </w:tc>
      </w:tr>
      <w:tr>
        <w:trPr>
          <w:trHeight w:val="216"/>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and other loss, net</w:t>
            </w: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(12,218)</w:t>
            </w:r>
          </w:p>
        </w:tc>
        <w:tc>
          <w:tcPr>
            <w:tcW w:w="3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6,562</w:t>
            </w:r>
          </w:p>
        </w:tc>
        <w:tc>
          <w:tcPr>
            <w:tcW w:w="7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w w:val="94"/>
              </w:rPr>
              <w:t>(AA)</w:t>
            </w: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2,276</w:t>
            </w: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(FF)</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(7,893)</w:t>
            </w:r>
          </w:p>
        </w:tc>
      </w:tr>
      <w:tr>
        <w:trPr>
          <w:trHeight w:val="216"/>
        </w:trPr>
        <w:tc>
          <w:tcPr>
            <w:tcW w:w="3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4"/>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(5,374)(GG)</w:t>
            </w: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1,454</w:t>
            </w: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(HH)</w:t>
            </w: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Grant income</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206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37"/>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exchange, net</w:t>
            </w:r>
          </w:p>
        </w:tc>
        <w:tc>
          <w:tcPr>
            <w:tcW w:w="120" w:type="dxa"/>
            <w:vAlign w:val="bottom"/>
          </w:tcPr>
          <w:p>
            <w:pPr>
              <w:spacing w:after="0"/>
              <w:rPr>
                <w:sz w:val="20"/>
                <w:szCs w:val="20"/>
                <w:color w:val="auto"/>
              </w:rPr>
            </w:pPr>
          </w:p>
        </w:tc>
        <w:tc>
          <w:tcPr>
            <w:tcW w:w="8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15,800</w:t>
            </w: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15,800</w:t>
            </w:r>
          </w:p>
        </w:tc>
      </w:tr>
      <w:tr>
        <w:trPr>
          <w:trHeight w:val="236"/>
        </w:trPr>
        <w:tc>
          <w:tcPr>
            <w:tcW w:w="37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expense, net</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(31,970</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4,572</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(23,295</w:t>
            </w:r>
          </w:p>
        </w:tc>
        <w:tc>
          <w:tcPr>
            <w:tcW w:w="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3"/>
        </w:trPr>
        <w:tc>
          <w:tcPr>
            <w:tcW w:w="374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Loss before taxes</w:t>
            </w:r>
          </w:p>
        </w:tc>
        <w:tc>
          <w:tcPr>
            <w:tcW w:w="1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(68,645)</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(11,055)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(1,610)</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4,572</w:t>
            </w: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(76,738)</w:t>
            </w:r>
          </w:p>
        </w:tc>
        <w:tc>
          <w:tcPr>
            <w:tcW w:w="60" w:type="dxa"/>
            <w:vAlign w:val="bottom"/>
          </w:tcPr>
          <w:p>
            <w:pPr>
              <w:spacing w:after="0"/>
              <w:rPr>
                <w:sz w:val="17"/>
                <w:szCs w:val="17"/>
                <w:color w:val="auto"/>
              </w:rPr>
            </w:pPr>
          </w:p>
        </w:tc>
      </w:tr>
      <w:tr>
        <w:trPr>
          <w:trHeight w:val="250"/>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from income taxes</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r>
      <w:tr>
        <w:trPr>
          <w:trHeight w:val="203"/>
        </w:trPr>
        <w:tc>
          <w:tcPr>
            <w:tcW w:w="37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(68,068)</w:t>
            </w:r>
          </w:p>
        </w:tc>
        <w:tc>
          <w:tcPr>
            <w:tcW w:w="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(11,055)</w:t>
            </w:r>
          </w:p>
        </w:tc>
        <w:tc>
          <w:tcPr>
            <w:tcW w:w="1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(1,610)</w:t>
            </w:r>
          </w:p>
        </w:tc>
        <w:tc>
          <w:tcPr>
            <w:tcW w:w="5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4,572</w:t>
            </w:r>
          </w:p>
        </w:tc>
        <w:tc>
          <w:tcPr>
            <w:tcW w:w="4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(76,161)</w:t>
            </w:r>
          </w:p>
        </w:tc>
        <w:tc>
          <w:tcPr>
            <w:tcW w:w="60" w:type="dxa"/>
            <w:vAlign w:val="bottom"/>
            <w:tcBorders>
              <w:top w:val="single" w:sz="8" w:color="CCEEFF"/>
            </w:tcBorders>
          </w:tcPr>
          <w:p>
            <w:pPr>
              <w:spacing w:after="0"/>
              <w:rPr>
                <w:sz w:val="17"/>
                <w:szCs w:val="17"/>
                <w:color w:val="auto"/>
              </w:rPr>
            </w:pPr>
          </w:p>
        </w:tc>
      </w:tr>
      <w:tr>
        <w:trPr>
          <w:trHeight w:val="250"/>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r>
      <w:tr>
        <w:trPr>
          <w:trHeight w:val="250"/>
        </w:trPr>
        <w:tc>
          <w:tcPr>
            <w:tcW w:w="374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loss attributable to USA Rare Earth, Inc.</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(66,989</w:t>
            </w:r>
          </w:p>
        </w:tc>
        <w:tc>
          <w:tcPr>
            <w:tcW w:w="120" w:type="dxa"/>
            <w:vAlign w:val="bottom"/>
            <w:tcBorders>
              <w:top w:val="single" w:sz="8" w:color="CCEEFF"/>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(11,055</w:t>
            </w:r>
          </w:p>
        </w:tc>
        <w:tc>
          <w:tcPr>
            <w:tcW w:w="12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bottom w:val="single" w:sz="8" w:color="CCEEFF"/>
            </w:tcBorders>
          </w:tcPr>
          <w:p>
            <w:pPr>
              <w:spacing w:after="0"/>
              <w:rPr>
                <w:sz w:val="21"/>
                <w:szCs w:val="21"/>
                <w:color w:val="auto"/>
              </w:rPr>
            </w:pPr>
          </w:p>
        </w:tc>
        <w:tc>
          <w:tcPr>
            <w:tcW w:w="460" w:type="dxa"/>
            <w:vAlign w:val="bottom"/>
            <w:tcBorders>
              <w:top w:val="single" w:sz="8" w:color="CCEEFF"/>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(1,610</w:t>
            </w:r>
          </w:p>
        </w:tc>
        <w:tc>
          <w:tcPr>
            <w:tcW w:w="520" w:type="dxa"/>
            <w:vAlign w:val="bottom"/>
            <w:tcBorders>
              <w:top w:val="single" w:sz="8" w:color="CCEEFF"/>
              <w:bottom w:val="single" w:sz="8" w:color="CCEEFF"/>
            </w:tcBorders>
          </w:tcPr>
          <w:p>
            <w:pPr>
              <w:jc w:val="right"/>
              <w:ind w:right="3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4,572</w:t>
            </w:r>
          </w:p>
        </w:tc>
        <w:tc>
          <w:tcPr>
            <w:tcW w:w="40" w:type="dxa"/>
            <w:vAlign w:val="bottom"/>
            <w:tcBorders>
              <w:top w:val="single" w:sz="8" w:color="CCEEFF"/>
              <w:bottom w:val="single" w:sz="8" w:color="CCEEFF"/>
            </w:tcBorders>
          </w:tcPr>
          <w:p>
            <w:pPr>
              <w:spacing w:after="0"/>
              <w:rPr>
                <w:sz w:val="21"/>
                <w:szCs w:val="21"/>
                <w:color w:val="auto"/>
              </w:rPr>
            </w:pPr>
          </w:p>
        </w:tc>
        <w:tc>
          <w:tcPr>
            <w:tcW w:w="480" w:type="dxa"/>
            <w:vAlign w:val="bottom"/>
            <w:tcBorders>
              <w:top w:val="single" w:sz="8" w:color="CCEEFF"/>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(75,082</w:t>
            </w:r>
          </w:p>
        </w:tc>
        <w:tc>
          <w:tcPr>
            <w:tcW w:w="6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57"/>
        </w:trPr>
        <w:tc>
          <w:tcPr>
            <w:tcW w:w="374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8"/>
                <w:szCs w:val="18"/>
                <w:color w:val="auto"/>
              </w:rPr>
              <w:t>Net loss per share attributable to USA Rare Earth,</w:t>
            </w: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234"/>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16"/>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(0.23)</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shares used in per share calculations: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4"/>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120" w:type="dxa"/>
            <w:vAlign w:val="bottom"/>
          </w:tcPr>
          <w:p>
            <w:pPr>
              <w:spacing w:after="0"/>
              <w:rPr>
                <w:sz w:val="20"/>
                <w:szCs w:val="20"/>
                <w:color w:val="auto"/>
              </w:rPr>
            </w:pPr>
          </w:p>
        </w:tc>
        <w:tc>
          <w:tcPr>
            <w:tcW w:w="8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196,479</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193,429</w:t>
            </w: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333,428</w:t>
            </w: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Please refer to the notes to the unaudited pro forma condensed combined financial information.</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3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Transaction</w:t>
            </w:r>
          </w:p>
        </w:tc>
        <w:tc>
          <w:tcPr>
            <w:tcW w:w="500" w:type="dxa"/>
            <w:vAlign w:val="bottom"/>
          </w:tcPr>
          <w:p>
            <w:pPr>
              <w:spacing w:after="0"/>
              <w:rPr>
                <w:sz w:val="18"/>
                <w:szCs w:val="18"/>
                <w:color w:val="auto"/>
              </w:rPr>
            </w:pPr>
          </w:p>
        </w:tc>
        <w:tc>
          <w:tcPr>
            <w:tcW w:w="110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Pro</w:t>
            </w:r>
          </w:p>
        </w:tc>
      </w:tr>
      <w:tr>
        <w:trPr>
          <w:trHeight w:val="216"/>
        </w:trPr>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USAR</w:t>
            </w:r>
          </w:p>
        </w:tc>
        <w:tc>
          <w:tcPr>
            <w:tcW w:w="12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SVRE</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Presentation</w:t>
            </w:r>
          </w:p>
        </w:tc>
        <w:tc>
          <w:tcPr>
            <w:tcW w:w="5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Accounting</w:t>
            </w:r>
          </w:p>
        </w:tc>
        <w:tc>
          <w:tcPr>
            <w:tcW w:w="500" w:type="dxa"/>
            <w:vAlign w:val="bottom"/>
          </w:tcPr>
          <w:p>
            <w:pPr>
              <w:spacing w:after="0"/>
              <w:rPr>
                <w:sz w:val="18"/>
                <w:szCs w:val="18"/>
                <w:color w:val="auto"/>
              </w:rPr>
            </w:pPr>
          </w:p>
        </w:tc>
        <w:tc>
          <w:tcPr>
            <w:tcW w:w="110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Material</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Forma</w:t>
            </w:r>
          </w:p>
        </w:tc>
      </w:tr>
      <w:tr>
        <w:trPr>
          <w:trHeight w:val="245"/>
        </w:trPr>
        <w:tc>
          <w:tcPr>
            <w:tcW w:w="3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w w:val="97"/>
              </w:rPr>
              <w:t>Historical</w:t>
            </w:r>
          </w:p>
        </w:tc>
        <w:tc>
          <w:tcPr>
            <w:tcW w:w="12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7"/>
              </w:rPr>
              <w:t>Historical</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500" w:type="dxa"/>
            <w:vAlign w:val="bottom"/>
          </w:tcPr>
          <w:p>
            <w:pPr>
              <w:spacing w:after="0"/>
              <w:rPr>
                <w:sz w:val="21"/>
                <w:szCs w:val="21"/>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500" w:type="dxa"/>
            <w:vAlign w:val="bottom"/>
          </w:tcPr>
          <w:p>
            <w:pPr>
              <w:spacing w:after="0"/>
              <w:rPr>
                <w:sz w:val="21"/>
                <w:szCs w:val="21"/>
                <w:color w:val="auto"/>
              </w:rPr>
            </w:pPr>
          </w:p>
        </w:tc>
        <w:tc>
          <w:tcPr>
            <w:tcW w:w="110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Transactions</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Combined</w:t>
            </w:r>
          </w:p>
        </w:tc>
      </w:tr>
      <w:tr>
        <w:trPr>
          <w:trHeight w:val="216"/>
        </w:trPr>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CCEEFF"/>
            </w:tcBorders>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1,643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2,486</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4,129</w:t>
            </w:r>
          </w:p>
        </w:tc>
      </w:tr>
      <w:tr>
        <w:trPr>
          <w:trHeight w:val="23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1,448</w:t>
            </w:r>
          </w:p>
        </w:tc>
        <w:tc>
          <w:tcPr>
            <w:tcW w:w="12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36,105</w:t>
            </w: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37,553</w:t>
            </w:r>
          </w:p>
        </w:tc>
      </w:tr>
      <w:tr>
        <w:trPr>
          <w:trHeight w:val="216"/>
        </w:trPr>
        <w:tc>
          <w:tcPr>
            <w:tcW w:w="30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(33,619)</w:t>
            </w:r>
          </w:p>
        </w:tc>
        <w:tc>
          <w:tcPr>
            <w:tcW w:w="1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left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43,135</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25,803</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278</w:t>
            </w:r>
          </w:p>
        </w:tc>
        <w:tc>
          <w:tcPr>
            <w:tcW w:w="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(AA)</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113,000</w:t>
            </w:r>
          </w:p>
        </w:tc>
        <w:tc>
          <w:tcPr>
            <w:tcW w:w="1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(CC)</w:t>
            </w:r>
          </w:p>
        </w:tc>
        <w:tc>
          <w:tcPr>
            <w:tcW w:w="80" w:type="dxa"/>
            <w:vAlign w:val="bottom"/>
            <w:tcBorders>
              <w:lef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193,886</w:t>
            </w:r>
          </w:p>
        </w:tc>
      </w:tr>
      <w:tr>
        <w:trPr>
          <w:trHeight w:val="216"/>
        </w:trPr>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11,670</w:t>
            </w: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(DD)</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15,885</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15,885</w:t>
            </w:r>
          </w:p>
        </w:tc>
      </w:tr>
      <w:tr>
        <w:trPr>
          <w:trHeight w:val="216"/>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678</w:t>
            </w: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678</w:t>
            </w:r>
          </w:p>
        </w:tc>
      </w:tr>
      <w:tr>
        <w:trPr>
          <w:trHeight w:val="250"/>
        </w:trPr>
        <w:tc>
          <w:tcPr>
            <w:tcW w:w="3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expenses, net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tcBorders>
              <w:right w:val="single" w:sz="8" w:color="CCEEFF"/>
            </w:tcBorders>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1,440</w:t>
            </w:r>
          </w:p>
        </w:tc>
        <w:tc>
          <w:tcPr>
            <w:tcW w:w="1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180" w:type="dxa"/>
            <w:vAlign w:val="bottom"/>
            <w:tcBorders>
              <w:right w:val="single" w:sz="8" w:color="CCEEFF"/>
            </w:tcBorders>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0" w:type="dxa"/>
            <w:vAlign w:val="bottom"/>
            <w:tcBorders>
              <w:left w:val="single" w:sz="8" w:color="CCEEFF"/>
            </w:tcBorders>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1,440</w:t>
            </w:r>
          </w:p>
        </w:tc>
      </w:tr>
      <w:tr>
        <w:trPr>
          <w:trHeight w:val="210"/>
        </w:trPr>
        <w:tc>
          <w:tcPr>
            <w:tcW w:w="300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59,698</w:t>
            </w:r>
          </w:p>
        </w:tc>
        <w:tc>
          <w:tcPr>
            <w:tcW w:w="1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27,243</w:t>
            </w:r>
          </w:p>
        </w:tc>
        <w:tc>
          <w:tcPr>
            <w:tcW w:w="18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278</w:t>
            </w:r>
          </w:p>
        </w:tc>
        <w:tc>
          <w:tcPr>
            <w:tcW w:w="80" w:type="dxa"/>
            <w:vAlign w:val="bottom"/>
            <w:tcBorders>
              <w:top w:val="single" w:sz="8" w:color="CCEEFF"/>
              <w:bottom w:val="single" w:sz="8" w:color="CCEEFF"/>
            </w:tcBorders>
          </w:tcPr>
          <w:p>
            <w:pPr>
              <w:spacing w:after="0"/>
              <w:rPr>
                <w:sz w:val="18"/>
                <w:szCs w:val="18"/>
                <w:color w:val="auto"/>
              </w:rPr>
            </w:pPr>
          </w:p>
        </w:tc>
        <w:tc>
          <w:tcPr>
            <w:tcW w:w="500" w:type="dxa"/>
            <w:vAlign w:val="bottom"/>
            <w:tcBorders>
              <w:top w:val="single" w:sz="8" w:color="CCEEFF"/>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124,670</w:t>
            </w:r>
          </w:p>
        </w:tc>
        <w:tc>
          <w:tcPr>
            <w:tcW w:w="50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tcPr>
          <w:p>
            <w:pPr>
              <w:spacing w:after="0"/>
              <w:rPr>
                <w:sz w:val="18"/>
                <w:szCs w:val="18"/>
                <w:color w:val="auto"/>
              </w:rPr>
            </w:pPr>
          </w:p>
        </w:tc>
        <w:tc>
          <w:tcPr>
            <w:tcW w:w="4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211,889</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3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(59,503)</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(60,862)</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(124,670)</w:t>
            </w: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lef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(245,313)</w:t>
            </w:r>
          </w:p>
        </w:tc>
        <w:tc>
          <w:tcPr>
            <w:tcW w:w="100" w:type="dxa"/>
            <w:vAlign w:val="bottom"/>
            <w:shd w:val="clear" w:color="auto" w:fill="CCEEFF"/>
          </w:tcPr>
          <w:p>
            <w:pPr>
              <w:spacing w:after="0"/>
              <w:rPr>
                <w:sz w:val="18"/>
                <w:szCs w:val="18"/>
                <w:color w:val="auto"/>
              </w:rPr>
            </w:pP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5,446</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2,671</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8,117</w:t>
            </w:r>
          </w:p>
        </w:tc>
      </w:tr>
      <w:tr>
        <w:trPr>
          <w:trHeight w:val="216"/>
        </w:trPr>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30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Loss on fair market value of financial</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80" w:type="dxa"/>
            <w:vAlign w:val="bottom"/>
            <w:tcBorders>
              <w:righ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instruments, net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tcBorders>
              <w:right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(244,488)</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(7,652) (AA)</w:t>
            </w:r>
          </w:p>
        </w:tc>
        <w:tc>
          <w:tcPr>
            <w:tcW w:w="1180" w:type="dxa"/>
            <w:vAlign w:val="bottom"/>
            <w:tcBorders>
              <w:right w:val="single" w:sz="8" w:color="CCEEFF"/>
            </w:tcBorders>
            <w:shd w:val="clear" w:color="auto" w:fill="CCEEFF"/>
          </w:tcPr>
          <w:p>
            <w:pPr>
              <w:spacing w:after="0"/>
              <w:rPr>
                <w:sz w:val="20"/>
                <w:szCs w:val="20"/>
                <w:color w:val="auto"/>
              </w:rPr>
            </w:pP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7,652</w:t>
            </w:r>
          </w:p>
        </w:tc>
        <w:tc>
          <w:tcPr>
            <w:tcW w:w="80" w:type="dxa"/>
            <w:vAlign w:val="bottom"/>
            <w:tcBorders>
              <w:left w:val="single" w:sz="8" w:color="CCEEFF"/>
            </w:tcBorders>
            <w:shd w:val="clear" w:color="auto" w:fill="CCEEFF"/>
          </w:tcPr>
          <w:p>
            <w:pPr>
              <w:spacing w:after="0"/>
              <w:rPr>
                <w:sz w:val="20"/>
                <w:szCs w:val="20"/>
                <w:color w:val="auto"/>
              </w:rPr>
            </w:pPr>
          </w:p>
        </w:tc>
        <w:tc>
          <w:tcPr>
            <w:tcW w:w="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(EE)</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(244,488)</w:t>
            </w:r>
          </w:p>
        </w:tc>
      </w:tr>
      <w:tr>
        <w:trPr>
          <w:trHeight w:val="216"/>
        </w:trPr>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30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Interest expense and other income</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80" w:type="dxa"/>
            <w:vAlign w:val="bottom"/>
            <w:tcBorders>
              <w:righ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net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tcBorders>
              <w:right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(9,873)</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7,930</w:t>
            </w:r>
          </w:p>
        </w:tc>
        <w:tc>
          <w:tcPr>
            <w:tcW w:w="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(AA)</w:t>
            </w:r>
          </w:p>
        </w:tc>
        <w:tc>
          <w:tcPr>
            <w:tcW w:w="1180" w:type="dxa"/>
            <w:vAlign w:val="bottom"/>
            <w:tcBorders>
              <w:right w:val="single" w:sz="8" w:color="CCEEFF"/>
            </w:tcBorders>
            <w:shd w:val="clear" w:color="auto" w:fill="CCEEFF"/>
          </w:tcPr>
          <w:p>
            <w:pPr>
              <w:spacing w:after="0"/>
              <w:rPr>
                <w:sz w:val="20"/>
                <w:szCs w:val="20"/>
                <w:color w:val="auto"/>
              </w:rPr>
            </w:pP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4,268</w:t>
            </w:r>
          </w:p>
        </w:tc>
        <w:tc>
          <w:tcPr>
            <w:tcW w:w="80" w:type="dxa"/>
            <w:vAlign w:val="bottom"/>
            <w:tcBorders>
              <w:left w:val="single" w:sz="8" w:color="CCEEFF"/>
            </w:tcBorders>
            <w:shd w:val="clear" w:color="auto" w:fill="CCEEFF"/>
          </w:tcPr>
          <w:p>
            <w:pPr>
              <w:spacing w:after="0"/>
              <w:rPr>
                <w:sz w:val="20"/>
                <w:szCs w:val="20"/>
                <w:color w:val="auto"/>
              </w:rPr>
            </w:pPr>
          </w:p>
        </w:tc>
        <w:tc>
          <w:tcPr>
            <w:tcW w:w="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(FF)</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(29,082)</w:t>
            </w:r>
          </w:p>
        </w:tc>
      </w:tr>
      <w:tr>
        <w:trPr>
          <w:trHeight w:val="216"/>
        </w:trPr>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(31,968) (GG)</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580" w:type="dxa"/>
            <w:vAlign w:val="bottom"/>
            <w:tcBorders>
              <w:left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(HH)</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exchange, net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49,532</w:t>
            </w: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49,532</w:t>
            </w:r>
          </w:p>
        </w:tc>
      </w:tr>
      <w:tr>
        <w:trPr>
          <w:trHeight w:val="236"/>
        </w:trPr>
        <w:tc>
          <w:tcPr>
            <w:tcW w:w="30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expense, net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(239,181</w:t>
            </w:r>
          </w:p>
        </w:tc>
        <w:tc>
          <w:tcPr>
            <w:tcW w:w="180" w:type="dxa"/>
            <w:vAlign w:val="bottom"/>
            <w:tcBorders>
              <w:top w:val="single" w:sz="8" w:color="CCEEFF"/>
              <w:bottom w:val="single" w:sz="8" w:color="CCEEFF"/>
              <w:right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42,330</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(19,348</w:t>
            </w:r>
          </w:p>
        </w:tc>
        <w:tc>
          <w:tcPr>
            <w:tcW w:w="80" w:type="dxa"/>
            <w:vAlign w:val="bottom"/>
            <w:tcBorders>
              <w:top w:val="single" w:sz="8" w:color="CCEEFF"/>
              <w:left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(215,921)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300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Loss before taxes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(298,684)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(18,532)</w:t>
            </w:r>
          </w:p>
        </w:tc>
        <w:tc>
          <w:tcPr>
            <w:tcW w:w="18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(124,670)</w:t>
            </w:r>
          </w:p>
        </w:tc>
        <w:tc>
          <w:tcPr>
            <w:tcW w:w="50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(19,348)</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(461,234)</w:t>
            </w:r>
          </w:p>
        </w:tc>
        <w:tc>
          <w:tcPr>
            <w:tcW w:w="100" w:type="dxa"/>
            <w:vAlign w:val="bottom"/>
          </w:tcPr>
          <w:p>
            <w:pPr>
              <w:spacing w:after="0"/>
              <w:rPr>
                <w:sz w:val="17"/>
                <w:szCs w:val="17"/>
                <w:color w:val="auto"/>
              </w:rPr>
            </w:pPr>
          </w:p>
        </w:tc>
      </w:tr>
      <w:tr>
        <w:trPr>
          <w:trHeight w:val="229"/>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from income taxes</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tcBorders>
              <w:right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80" w:type="dxa"/>
            <w:vAlign w:val="bottom"/>
            <w:tcBorders>
              <w:right w:val="single" w:sz="8" w:color="CCEEFF"/>
            </w:tcBorders>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tcBorders>
              <w:left w:val="single" w:sz="8" w:color="CCEEFF"/>
            </w:tcBorders>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w:t>
            </w:r>
          </w:p>
        </w:tc>
      </w:tr>
      <w:tr>
        <w:trPr>
          <w:trHeight w:val="27"/>
        </w:trPr>
        <w:tc>
          <w:tcPr>
            <w:tcW w:w="3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180" w:type="dxa"/>
            <w:vAlign w:val="bottom"/>
            <w:tcBorders>
              <w:right w:val="single" w:sz="8" w:color="CCEEFF"/>
            </w:tcBorders>
            <w:shd w:val="clear" w:color="auto" w:fill="000000"/>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1" w:lineRule="exact"/>
        <w:rPr>
          <w:sz w:val="20"/>
          <w:szCs w:val="20"/>
          <w:color w:val="auto"/>
        </w:rPr>
      </w:pPr>
    </w:p>
    <w:p>
      <w:pPr>
        <w:sectPr>
          <w:pgSz w:w="11900" w:h="16838" w:orient="portrait"/>
          <w:cols w:equalWidth="0" w:num="1">
            <w:col w:w="11240"/>
          </w:cols>
          <w:pgMar w:left="320" w:top="333"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Net loss</w:t>
      </w:r>
    </w:p>
    <w:p>
      <w:pPr>
        <w:spacing w:after="0" w:line="9" w:lineRule="exact"/>
        <w:rPr>
          <w:sz w:val="20"/>
          <w:szCs w:val="20"/>
          <w:color w:val="auto"/>
        </w:rPr>
      </w:pPr>
    </w:p>
    <w:p>
      <w:pPr>
        <w:ind w:left="180" w:right="120" w:hanging="161"/>
        <w:spacing w:after="0" w:line="255" w:lineRule="auto"/>
        <w:rPr>
          <w:sz w:val="20"/>
          <w:szCs w:val="20"/>
          <w:color w:val="auto"/>
        </w:rPr>
      </w:pPr>
      <w:r>
        <w:rPr>
          <w:rFonts w:ascii="Times New Roman" w:cs="Times New Roman" w:eastAsia="Times New Roman" w:hAnsi="Times New Roman"/>
          <w:sz w:val="18"/>
          <w:szCs w:val="18"/>
          <w:color w:val="auto"/>
        </w:rPr>
        <w:t>Net loss attributable to non-controlling interest</w:t>
      </w:r>
    </w:p>
    <w:p>
      <w:pPr>
        <w:spacing w:after="0" w:line="1" w:lineRule="exact"/>
        <w:rPr>
          <w:sz w:val="20"/>
          <w:szCs w:val="20"/>
          <w:color w:val="auto"/>
        </w:rPr>
      </w:pPr>
    </w:p>
    <w:p>
      <w:pPr>
        <w:ind w:left="180" w:hanging="161"/>
        <w:spacing w:after="0" w:line="282" w:lineRule="auto"/>
        <w:rPr>
          <w:sz w:val="20"/>
          <w:szCs w:val="20"/>
          <w:color w:val="auto"/>
        </w:rPr>
      </w:pPr>
      <w:r>
        <w:rPr>
          <w:rFonts w:ascii="Times New Roman" w:cs="Times New Roman" w:eastAsia="Times New Roman" w:hAnsi="Times New Roman"/>
          <w:sz w:val="18"/>
          <w:szCs w:val="18"/>
          <w:color w:val="auto"/>
        </w:rPr>
        <w:t>Net loss attributable to USA Rare Earth, Inc.</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(298,524)</w:t>
            </w:r>
          </w:p>
        </w:tc>
        <w:tc>
          <w:tcPr>
            <w:tcW w:w="22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(18,532)</w:t>
            </w:r>
          </w:p>
        </w:tc>
        <w:tc>
          <w:tcPr>
            <w:tcW w:w="560" w:type="dxa"/>
            <w:vAlign w:val="bottom"/>
          </w:tcPr>
          <w:p>
            <w:pPr>
              <w:spacing w:after="0"/>
              <w:rPr>
                <w:sz w:val="20"/>
                <w:szCs w:val="20"/>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(124,670)</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(19,348)</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(461,074)</w:t>
            </w:r>
          </w:p>
        </w:tc>
      </w:tr>
      <w:tr>
        <w:trPr>
          <w:trHeight w:val="427"/>
        </w:trPr>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(965)</w:t>
            </w:r>
          </w:p>
        </w:tc>
        <w:tc>
          <w:tcPr>
            <w:tcW w:w="220" w:type="dxa"/>
            <w:vAlign w:val="bottom"/>
          </w:tcPr>
          <w:p>
            <w:pPr>
              <w:spacing w:after="0"/>
              <w:rPr>
                <w:sz w:val="24"/>
                <w:szCs w:val="2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w:t>
            </w:r>
          </w:p>
        </w:tc>
      </w:tr>
      <w:tr>
        <w:trPr>
          <w:trHeight w:val="27"/>
        </w:trPr>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r>
      <w:tr>
        <w:trPr>
          <w:trHeight w:val="466"/>
        </w:trPr>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(297,559</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w:t>
            </w:r>
          </w:p>
        </w:tc>
        <w:tc>
          <w:tcPr>
            <w:tcW w:w="142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(18,532</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(124,670</w:t>
            </w:r>
            <w:r>
              <w:rPr>
                <w:rFonts w:ascii="Times New Roman" w:cs="Times New Roman" w:eastAsia="Times New Roman" w:hAnsi="Times New Roman"/>
                <w:sz w:val="35"/>
                <w:szCs w:val="35"/>
                <w:color w:val="auto"/>
                <w:vertAlign w:val="superscript"/>
              </w:rPr>
              <w:t>)</w:t>
            </w: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(19,348</w:t>
            </w:r>
            <w:r>
              <w:rPr>
                <w:rFonts w:ascii="Times New Roman" w:cs="Times New Roman" w:eastAsia="Times New Roman" w:hAnsi="Times New Roman"/>
                <w:sz w:val="35"/>
                <w:szCs w:val="35"/>
                <w:color w:val="auto"/>
                <w:vertAlign w:val="superscript"/>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(460,109)</w:t>
            </w:r>
          </w:p>
        </w:tc>
      </w:tr>
      <w:tr>
        <w:trPr>
          <w:trHeight w:val="20"/>
        </w:trPr>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-633730</wp:posOffset>
            </wp:positionV>
            <wp:extent cx="7132320" cy="291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920" w:space="200"/>
            <w:col w:w="8120"/>
          </w:cols>
          <w:pgMar w:left="320" w:top="333"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9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300" w:type="dxa"/>
            <w:vAlign w:val="bottom"/>
            <w:shd w:val="clear" w:color="auto" w:fill="CCEEFF"/>
          </w:tcPr>
          <w:p>
            <w:pPr>
              <w:spacing w:after="0"/>
              <w:rPr>
                <w:sz w:val="17"/>
                <w:szCs w:val="17"/>
                <w:color w:val="auto"/>
              </w:rPr>
            </w:pPr>
          </w:p>
        </w:tc>
        <w:tc>
          <w:tcPr>
            <w:tcW w:w="27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198"/>
        </w:trPr>
        <w:tc>
          <w:tcPr>
            <w:tcW w:w="2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loss per share attributable to USA</w:t>
            </w: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4"/>
        </w:trPr>
        <w:tc>
          <w:tcPr>
            <w:tcW w:w="2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Rare Earth, Inc.:</w:t>
            </w: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16"/>
        </w:trPr>
        <w:tc>
          <w:tcPr>
            <w:tcW w:w="2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4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300" w:type="dxa"/>
            <w:vAlign w:val="bottom"/>
            <w:shd w:val="clear" w:color="auto" w:fill="CCEEFF"/>
          </w:tcPr>
          <w:p>
            <w:pPr>
              <w:jc w:val="right"/>
              <w:ind w:right="2450"/>
              <w:spacing w:after="0"/>
              <w:rPr>
                <w:sz w:val="20"/>
                <w:szCs w:val="20"/>
                <w:color w:val="auto"/>
              </w:rPr>
            </w:pPr>
            <w:r>
              <w:rPr>
                <w:rFonts w:ascii="Times New Roman" w:cs="Times New Roman" w:eastAsia="Times New Roman" w:hAnsi="Times New Roman"/>
                <w:sz w:val="18"/>
                <w:szCs w:val="18"/>
                <w:color w:val="auto"/>
              </w:rPr>
              <w:t>(0.10)</w:t>
            </w:r>
          </w:p>
        </w:tc>
        <w:tc>
          <w:tcPr>
            <w:tcW w:w="2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w:t>
            </w:r>
          </w:p>
        </w:tc>
      </w:tr>
      <w:tr>
        <w:trPr>
          <w:trHeight w:val="198"/>
        </w:trPr>
        <w:tc>
          <w:tcPr>
            <w:tcW w:w="2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Number of shares used in per share</w:t>
            </w: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4"/>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calculations:</w:t>
            </w: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16"/>
        </w:trPr>
        <w:tc>
          <w:tcPr>
            <w:tcW w:w="2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98,021</w:t>
            </w:r>
          </w:p>
        </w:tc>
        <w:tc>
          <w:tcPr>
            <w:tcW w:w="260" w:type="dxa"/>
            <w:vAlign w:val="bottom"/>
            <w:shd w:val="clear" w:color="auto" w:fill="CCEEFF"/>
          </w:tcPr>
          <w:p>
            <w:pPr>
              <w:spacing w:after="0"/>
              <w:rPr>
                <w:sz w:val="18"/>
                <w:szCs w:val="18"/>
                <w:color w:val="auto"/>
              </w:rPr>
            </w:pPr>
          </w:p>
        </w:tc>
        <w:tc>
          <w:tcPr>
            <w:tcW w:w="3300" w:type="dxa"/>
            <w:vAlign w:val="bottom"/>
            <w:shd w:val="clear" w:color="auto" w:fill="CCEEFF"/>
          </w:tcPr>
          <w:p>
            <w:pPr>
              <w:jc w:val="right"/>
              <w:ind w:right="2510"/>
              <w:spacing w:after="0"/>
              <w:rPr>
                <w:sz w:val="20"/>
                <w:szCs w:val="20"/>
                <w:color w:val="auto"/>
              </w:rPr>
            </w:pPr>
            <w:r>
              <w:rPr>
                <w:rFonts w:ascii="Times New Roman" w:cs="Times New Roman" w:eastAsia="Times New Roman" w:hAnsi="Times New Roman"/>
                <w:sz w:val="18"/>
                <w:szCs w:val="18"/>
                <w:color w:val="auto"/>
              </w:rPr>
              <w:t>193,429</w:t>
            </w:r>
          </w:p>
        </w:tc>
        <w:tc>
          <w:tcPr>
            <w:tcW w:w="27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294,638</w:t>
            </w:r>
          </w:p>
        </w:tc>
      </w:tr>
    </w:tbl>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Please refer to the notes to the unaudited pro forma condensed combined financial information.</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NOTES TO UNAUDITED PRO FORMA CONDENSED COMBINED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pro forma adjustments have been prepared as if the Pro Forma Transactions had been consummated on March 31, 2026, in the case of the unaudited pro forma condensed combined balance sheet, and, in the case of the unaudited pro forma condensed combined statements of operations, as if the Pro Forma Transactions had been consummated on January 1, 2025, the beginning of the earliest period presented in the unaudited pro forma condensed combined statements of operations.</w:t>
      </w:r>
    </w:p>
    <w:p>
      <w:pPr>
        <w:spacing w:after="0" w:line="180"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assuming the acquisition method of accounting in accordance with U.S. GAAP. Under this method, SVRE’s assets and liabilities will be recorded at their respective fair values. Any difference between the purchase price for SVRE and the fair value of the identifiable net assets acquired (including intangibles) will be recorded as goodwill. The assets and liabilities of SVRE have been measured based on various preliminary estimates using assumptions that USAR’s management believes are reasonable and based on currently available information. Accordingly, the pro forma adjustments are preliminary and have been made solely for the purpose of providing this unaudited pro forma condensed combined financial information.</w:t>
      </w:r>
    </w:p>
    <w:p>
      <w:pPr>
        <w:spacing w:after="0" w:line="187"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pro forma adjustments represent management’s estimates based on information available as of June 5, 2026 and are subject to change as additional information becomes available and additional analyses are performed.</w:t>
      </w:r>
    </w:p>
    <w:p>
      <w:pPr>
        <w:spacing w:after="0" w:line="162"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USAR has performed a preliminary review to identify any accounting policy differences between the accounting policies used in SVRE’s financial statements and those of the Company, where the impact was potentially material and could be reasonably estimated, with the Company identifying no such differences.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Adjustments to the Unaudited Pro Forma Condensed Combined Balance Sheet as of March 31, 2026</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adjustments included in the unaudited pro forma condensed combined balance sheet as of March 31, 2026 are as follows:</w:t>
      </w:r>
    </w:p>
    <w:p>
      <w:pPr>
        <w:spacing w:after="0" w:line="225"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reclassification adjustments to conform SVRE’s historical balances to the financial statement presentation of USAR.</w:t>
      </w:r>
    </w:p>
    <w:p>
      <w:pPr>
        <w:spacing w:after="0" w:line="225" w:lineRule="exact"/>
        <w:rPr>
          <w:rFonts w:ascii="Times New Roman" w:cs="Times New Roman" w:eastAsia="Times New Roman" w:hAnsi="Times New Roman"/>
          <w:sz w:val="18"/>
          <w:szCs w:val="18"/>
          <w:color w:val="auto"/>
        </w:rPr>
      </w:pPr>
    </w:p>
    <w:p>
      <w:pPr>
        <w:ind w:left="660" w:right="320" w:hanging="328"/>
        <w:spacing w:after="0" w:line="258"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purchase price allocation adjustments to record SVRE’s identifiable assets acquired and liabilities assumed at their estimated fair values as of the acquisition date. The related statement of operations adjustments are reflected at adjustment (BB). This adjustment reflects the recording of the preliminary estimate of goodwill and the elimination of the historical equity balances of SVRE. Additionally, the adjustment removes SVRE’s outstanding warrant liability, to reflect the conversion of all warrants into SVRE’s ordinary shares immediately prior to the Merger.</w:t>
      </w:r>
    </w:p>
    <w:p>
      <w:pPr>
        <w:spacing w:after="0" w:line="183" w:lineRule="exact"/>
        <w:rPr>
          <w:rFonts w:ascii="Times New Roman" w:cs="Times New Roman" w:eastAsia="Times New Roman" w:hAnsi="Times New Roman"/>
          <w:sz w:val="18"/>
          <w:szCs w:val="18"/>
          <w:color w:val="auto"/>
        </w:rPr>
      </w:pPr>
    </w:p>
    <w:p>
      <w:pPr>
        <w:ind w:left="660"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ASC 805, the preliminary purchase price was allocated among the identified net assets to be acquired, based on a preliminary analysis. Goodwill is expected to be recognized as a result of the Merger, which represents the excess fair value of consideration over the fair value of the underlying net assets of SVRE. The deferred income taxes represent the deferred tax impact associated with the incremental differences in book and tax basis created from the preliminary purchase price allocation. Deferred taxes associated with estimated fair value adjustments were calculated using the statutory corporate tax rate in Brazil of 34%. The estimates of fair value are based upon preliminary valuation assumptions, and are believed to be reasonable, but are inherently uncertain and unpredictable. As a result, actual results may differ from estimates, and the difference may be material.</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 w:name="page14"/>
    <w:bookmarkEnd w:id="13"/>
    <w:p>
      <w:pPr>
        <w:ind w:left="4" w:right="180"/>
        <w:spacing w:after="0" w:line="282" w:lineRule="auto"/>
        <w:rPr>
          <w:sz w:val="20"/>
          <w:szCs w:val="20"/>
          <w:color w:val="auto"/>
        </w:rPr>
      </w:pPr>
      <w:r>
        <w:rPr>
          <w:rFonts w:ascii="Times New Roman" w:cs="Times New Roman" w:eastAsia="Times New Roman" w:hAnsi="Times New Roman"/>
          <w:sz w:val="18"/>
          <w:szCs w:val="18"/>
          <w:color w:val="auto"/>
        </w:rPr>
        <w:t>The following is a preliminary estimate of fair value of the assets acquired and the liabilities assumed by USAR in the Merger, reconciled to the estimated purchase consideration (in thousands):</w:t>
      </w:r>
    </w:p>
    <w:p>
      <w:pPr>
        <w:spacing w:after="0" w:line="158"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9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Preliminary</w:t>
            </w:r>
          </w:p>
        </w:tc>
      </w:tr>
      <w:tr>
        <w:trPr>
          <w:trHeight w:val="216"/>
        </w:trPr>
        <w:tc>
          <w:tcPr>
            <w:tcW w:w="9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Estimate of</w:t>
            </w:r>
          </w:p>
        </w:tc>
      </w:tr>
      <w:tr>
        <w:trPr>
          <w:trHeight w:val="245"/>
        </w:trPr>
        <w:tc>
          <w:tcPr>
            <w:tcW w:w="9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Assets Identified</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16"/>
        </w:trPr>
        <w:tc>
          <w:tcPr>
            <w:tcW w:w="918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110,417</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9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8"/>
                <w:szCs w:val="18"/>
                <w:color w:val="auto"/>
              </w:rPr>
            </w:pPr>
          </w:p>
        </w:tc>
      </w:tr>
      <w:tr>
        <w:trPr>
          <w:trHeight w:val="216"/>
        </w:trPr>
        <w:tc>
          <w:tcPr>
            <w:tcW w:w="9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21,231</w:t>
            </w:r>
          </w:p>
        </w:tc>
      </w:tr>
      <w:tr>
        <w:trPr>
          <w:trHeight w:val="216"/>
        </w:trPr>
        <w:tc>
          <w:tcPr>
            <w:tcW w:w="9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4,001</w:t>
            </w:r>
          </w:p>
        </w:tc>
        <w:tc>
          <w:tcPr>
            <w:tcW w:w="80" w:type="dxa"/>
            <w:vAlign w:val="bottom"/>
          </w:tcPr>
          <w:p>
            <w:pPr>
              <w:spacing w:after="0"/>
              <w:rPr>
                <w:sz w:val="18"/>
                <w:szCs w:val="18"/>
                <w:color w:val="auto"/>
              </w:rPr>
            </w:pPr>
          </w:p>
        </w:tc>
      </w:tr>
      <w:tr>
        <w:trPr>
          <w:trHeight w:val="216"/>
        </w:trPr>
        <w:tc>
          <w:tcPr>
            <w:tcW w:w="9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net (incl. mineral interests)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3,122,879</w:t>
            </w:r>
          </w:p>
        </w:tc>
        <w:tc>
          <w:tcPr>
            <w:tcW w:w="80" w:type="dxa"/>
            <w:vAlign w:val="bottom"/>
            <w:shd w:val="clear" w:color="auto" w:fill="CCEEFF"/>
          </w:tcPr>
          <w:p>
            <w:pPr>
              <w:spacing w:after="0"/>
              <w:rPr>
                <w:sz w:val="18"/>
                <w:szCs w:val="18"/>
                <w:color w:val="auto"/>
              </w:rPr>
            </w:pPr>
          </w:p>
        </w:tc>
      </w:tr>
      <w:tr>
        <w:trPr>
          <w:trHeight w:val="257"/>
        </w:trPr>
        <w:tc>
          <w:tcPr>
            <w:tcW w:w="930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Other intangible assets, net </w:t>
            </w:r>
            <w:r>
              <w:rPr>
                <w:rFonts w:ascii="Times New Roman" w:cs="Times New Roman" w:eastAsia="Times New Roman" w:hAnsi="Times New Roman"/>
                <w:sz w:val="29"/>
                <w:szCs w:val="29"/>
                <w:color w:val="auto"/>
                <w:vertAlign w:val="superscript"/>
              </w:rPr>
              <w:t>(1)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246,691</w:t>
            </w:r>
          </w:p>
        </w:tc>
        <w:tc>
          <w:tcPr>
            <w:tcW w:w="80" w:type="dxa"/>
            <w:vAlign w:val="bottom"/>
          </w:tcPr>
          <w:p>
            <w:pPr>
              <w:spacing w:after="0"/>
              <w:rPr>
                <w:sz w:val="22"/>
                <w:szCs w:val="22"/>
                <w:color w:val="auto"/>
              </w:rPr>
            </w:pPr>
          </w:p>
        </w:tc>
      </w:tr>
      <w:tr>
        <w:trPr>
          <w:trHeight w:val="216"/>
        </w:trPr>
        <w:tc>
          <w:tcPr>
            <w:tcW w:w="9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w:t>
            </w:r>
          </w:p>
        </w:tc>
      </w:tr>
      <w:tr>
        <w:trPr>
          <w:trHeight w:val="216"/>
        </w:trPr>
        <w:tc>
          <w:tcPr>
            <w:tcW w:w="9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(8,945)</w:t>
            </w:r>
          </w:p>
        </w:tc>
      </w:tr>
      <w:tr>
        <w:trPr>
          <w:trHeight w:val="216"/>
        </w:trPr>
        <w:tc>
          <w:tcPr>
            <w:tcW w:w="9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(13,635)</w:t>
            </w:r>
          </w:p>
        </w:tc>
      </w:tr>
      <w:tr>
        <w:trPr>
          <w:trHeight w:val="216"/>
        </w:trPr>
        <w:tc>
          <w:tcPr>
            <w:tcW w:w="9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Tax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(414)</w:t>
            </w:r>
          </w:p>
        </w:tc>
      </w:tr>
      <w:tr>
        <w:trPr>
          <w:trHeight w:val="256"/>
        </w:trPr>
        <w:tc>
          <w:tcPr>
            <w:tcW w:w="9300" w:type="dxa"/>
            <w:vAlign w:val="bottom"/>
            <w:gridSpan w:val="2"/>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Royalty agreement – current </w:t>
            </w:r>
            <w:r>
              <w:rPr>
                <w:rFonts w:ascii="Times New Roman" w:cs="Times New Roman" w:eastAsia="Times New Roman" w:hAnsi="Times New Roman"/>
                <w:sz w:val="29"/>
                <w:szCs w:val="29"/>
                <w:color w:val="auto"/>
                <w:vertAlign w:val="superscript"/>
              </w:rPr>
              <w:t>(2)</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(11,443)</w:t>
            </w:r>
          </w:p>
        </w:tc>
      </w:tr>
      <w:tr>
        <w:trPr>
          <w:trHeight w:val="216"/>
        </w:trPr>
        <w:tc>
          <w:tcPr>
            <w:tcW w:w="9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DFC loan, current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(2,232)</w:t>
            </w:r>
          </w:p>
        </w:tc>
      </w:tr>
      <w:tr>
        <w:trPr>
          <w:trHeight w:val="216"/>
        </w:trPr>
        <w:tc>
          <w:tcPr>
            <w:tcW w:w="9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lease, current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(933)</w:t>
            </w:r>
          </w:p>
        </w:tc>
      </w:tr>
      <w:tr>
        <w:trPr>
          <w:trHeight w:val="256"/>
        </w:trPr>
        <w:tc>
          <w:tcPr>
            <w:tcW w:w="930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Royalty agreement – noncurrent </w:t>
            </w:r>
            <w:r>
              <w:rPr>
                <w:rFonts w:ascii="Times New Roman" w:cs="Times New Roman" w:eastAsia="Times New Roman" w:hAnsi="Times New Roman"/>
                <w:sz w:val="29"/>
                <w:szCs w:val="29"/>
                <w:color w:val="auto"/>
                <w:vertAlign w:val="superscript"/>
              </w:rPr>
              <w:t>(2)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(215,415)</w:t>
            </w:r>
          </w:p>
        </w:tc>
      </w:tr>
      <w:tr>
        <w:trPr>
          <w:trHeight w:val="216"/>
        </w:trPr>
        <w:tc>
          <w:tcPr>
            <w:tcW w:w="9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DFC loan, noncurrent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(297,009)</w:t>
            </w:r>
          </w:p>
        </w:tc>
      </w:tr>
      <w:tr>
        <w:trPr>
          <w:trHeight w:val="216"/>
        </w:trPr>
        <w:tc>
          <w:tcPr>
            <w:tcW w:w="9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(4,738)</w:t>
            </w:r>
          </w:p>
        </w:tc>
      </w:tr>
      <w:tr>
        <w:trPr>
          <w:trHeight w:val="216"/>
        </w:trPr>
        <w:tc>
          <w:tcPr>
            <w:tcW w:w="9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leases, non-current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(180)</w:t>
            </w:r>
          </w:p>
        </w:tc>
      </w:tr>
      <w:tr>
        <w:trPr>
          <w:trHeight w:val="216"/>
        </w:trPr>
        <w:tc>
          <w:tcPr>
            <w:tcW w:w="9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(1,564)</w:t>
            </w:r>
          </w:p>
        </w:tc>
      </w:tr>
      <w:tr>
        <w:trPr>
          <w:trHeight w:val="250"/>
        </w:trPr>
        <w:tc>
          <w:tcPr>
            <w:tcW w:w="9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(886,414)</w:t>
            </w:r>
          </w:p>
        </w:tc>
      </w:tr>
      <w:tr>
        <w:trPr>
          <w:trHeight w:val="203"/>
        </w:trPr>
        <w:tc>
          <w:tcPr>
            <w:tcW w:w="9300" w:type="dxa"/>
            <w:vAlign w:val="bottom"/>
            <w:tcBorders>
              <w:top w:val="single" w:sz="8" w:color="CCEEFF"/>
            </w:tcBorders>
            <w:gridSpan w:val="2"/>
          </w:tcPr>
          <w:p>
            <w:pPr>
              <w:ind w:left="180"/>
              <w:spacing w:after="0" w:line="203" w:lineRule="exact"/>
              <w:rPr>
                <w:sz w:val="20"/>
                <w:szCs w:val="20"/>
                <w:color w:val="auto"/>
              </w:rPr>
            </w:pPr>
            <w:r>
              <w:rPr>
                <w:rFonts w:ascii="Times New Roman" w:cs="Times New Roman" w:eastAsia="Times New Roman" w:hAnsi="Times New Roman"/>
                <w:sz w:val="18"/>
                <w:szCs w:val="18"/>
                <w:b w:val="1"/>
                <w:bCs w:val="1"/>
                <w:color w:val="auto"/>
              </w:rPr>
              <w:t>Total net assets identified</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2,062,521</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49"/>
        </w:trPr>
        <w:tc>
          <w:tcPr>
            <w:tcW w:w="9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1,321,414</w:t>
            </w:r>
          </w:p>
        </w:tc>
        <w:tc>
          <w:tcPr>
            <w:tcW w:w="80" w:type="dxa"/>
            <w:vAlign w:val="bottom"/>
            <w:shd w:val="clear" w:color="auto" w:fill="CCEEFF"/>
          </w:tcPr>
          <w:p>
            <w:pPr>
              <w:spacing w:after="0"/>
              <w:rPr>
                <w:sz w:val="21"/>
                <w:szCs w:val="21"/>
                <w:color w:val="auto"/>
              </w:rPr>
            </w:pPr>
          </w:p>
        </w:tc>
      </w:tr>
      <w:tr>
        <w:trPr>
          <w:trHeight w:val="251"/>
        </w:trPr>
        <w:tc>
          <w:tcPr>
            <w:tcW w:w="9300" w:type="dxa"/>
            <w:vAlign w:val="bottom"/>
            <w:tcBorders>
              <w:top w:val="single" w:sz="8" w:color="CCEEFF"/>
              <w:bottom w:val="single" w:sz="8" w:color="CCEEFF"/>
            </w:tcBorders>
            <w:gridSpan w:val="2"/>
          </w:tcPr>
          <w:p>
            <w:pPr>
              <w:ind w:left="180"/>
              <w:spacing w:after="0" w:line="203" w:lineRule="exact"/>
              <w:rPr>
                <w:sz w:val="20"/>
                <w:szCs w:val="20"/>
                <w:color w:val="auto"/>
              </w:rPr>
            </w:pPr>
            <w:r>
              <w:rPr>
                <w:rFonts w:ascii="Times New Roman" w:cs="Times New Roman" w:eastAsia="Times New Roman" w:hAnsi="Times New Roman"/>
                <w:sz w:val="18"/>
                <w:szCs w:val="18"/>
                <w:b w:val="1"/>
                <w:bCs w:val="1"/>
                <w:color w:val="auto"/>
              </w:rPr>
              <w:t>Total purchase consideration</w:t>
            </w:r>
          </w:p>
        </w:tc>
        <w:tc>
          <w:tcPr>
            <w:tcW w:w="20" w:type="dxa"/>
            <w:vAlign w:val="bottom"/>
            <w:tcBorders>
              <w:top w:val="single" w:sz="8" w:color="CCEEFF"/>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3,383,935</w:t>
            </w:r>
          </w:p>
        </w:tc>
        <w:tc>
          <w:tcPr>
            <w:tcW w:w="20" w:type="dxa"/>
            <w:vAlign w:val="bottom"/>
            <w:tcBorders>
              <w:top w:val="single" w:sz="8" w:color="CCEEFF"/>
              <w:bottom w:val="single" w:sz="8" w:color="CCEEFF"/>
            </w:tcBorders>
          </w:tcPr>
          <w:p>
            <w:pPr>
              <w:spacing w:after="0"/>
              <w:rPr>
                <w:sz w:val="21"/>
                <w:szCs w:val="21"/>
                <w:color w:val="auto"/>
              </w:rPr>
            </w:pPr>
          </w:p>
        </w:tc>
        <w:tc>
          <w:tcPr>
            <w:tcW w:w="80" w:type="dxa"/>
            <w:vAlign w:val="bottom"/>
            <w:tcBorders>
              <w:top w:val="single" w:sz="8" w:color="CCEEFF"/>
              <w:bottom w:val="single" w:sz="8" w:color="CCEEFF"/>
            </w:tcBorders>
          </w:tcPr>
          <w:p>
            <w:pPr>
              <w:spacing w:after="0"/>
              <w:rPr>
                <w:sz w:val="21"/>
                <w:szCs w:val="21"/>
                <w:color w:val="auto"/>
              </w:rPr>
            </w:pPr>
          </w:p>
        </w:tc>
      </w:tr>
      <w:tr>
        <w:trPr>
          <w:trHeight w:val="216"/>
        </w:trPr>
        <w:tc>
          <w:tcPr>
            <w:tcW w:w="9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7"/>
        </w:trPr>
        <w:tc>
          <w:tcPr>
            <w:tcW w:w="9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Value Conveyed</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7"/>
        </w:trPr>
        <w:tc>
          <w:tcPr>
            <w:tcW w:w="9180" w:type="dxa"/>
            <w:vAlign w:val="bottom"/>
            <w:tcBorders>
              <w:top w:val="single" w:sz="8" w:color="auto"/>
            </w:tcBorders>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Cash consideration </w:t>
            </w:r>
            <w:r>
              <w:rPr>
                <w:rFonts w:ascii="Times New Roman" w:cs="Times New Roman" w:eastAsia="Times New Roman" w:hAnsi="Times New Roman"/>
                <w:sz w:val="29"/>
                <w:szCs w:val="29"/>
                <w:color w:val="auto"/>
                <w:vertAlign w:val="superscript"/>
              </w:rPr>
              <w:t>(3)</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tcBorders>
              <w:top w:val="single" w:sz="8" w:color="CCEEFF"/>
            </w:tcBorders>
            <w:shd w:val="clear" w:color="auto" w:fill="CCEEFF"/>
          </w:tcPr>
          <w:p>
            <w:pPr>
              <w:spacing w:after="0"/>
              <w:rPr>
                <w:sz w:val="22"/>
                <w:szCs w:val="22"/>
                <w:color w:val="auto"/>
              </w:rPr>
            </w:pPr>
          </w:p>
        </w:tc>
      </w:tr>
      <w:tr>
        <w:trPr>
          <w:trHeight w:val="256"/>
        </w:trPr>
        <w:tc>
          <w:tcPr>
            <w:tcW w:w="930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Equity consideration </w:t>
            </w:r>
            <w:r>
              <w:rPr>
                <w:rFonts w:ascii="Times New Roman" w:cs="Times New Roman" w:eastAsia="Times New Roman" w:hAnsi="Times New Roman"/>
                <w:sz w:val="29"/>
                <w:szCs w:val="29"/>
                <w:color w:val="auto"/>
                <w:vertAlign w:val="superscript"/>
              </w:rPr>
              <w:t>(4)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3,081,169</w:t>
            </w:r>
          </w:p>
        </w:tc>
        <w:tc>
          <w:tcPr>
            <w:tcW w:w="80" w:type="dxa"/>
            <w:vAlign w:val="bottom"/>
          </w:tcPr>
          <w:p>
            <w:pPr>
              <w:spacing w:after="0"/>
              <w:rPr>
                <w:sz w:val="22"/>
                <w:szCs w:val="22"/>
                <w:color w:val="auto"/>
              </w:rPr>
            </w:pPr>
          </w:p>
        </w:tc>
      </w:tr>
      <w:tr>
        <w:trPr>
          <w:trHeight w:val="290"/>
        </w:trPr>
        <w:tc>
          <w:tcPr>
            <w:tcW w:w="9300" w:type="dxa"/>
            <w:vAlign w:val="bottom"/>
            <w:gridSpan w:val="2"/>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Pre-combination expense for vested performance stock options </w:t>
            </w:r>
            <w:r>
              <w:rPr>
                <w:rFonts w:ascii="Times New Roman" w:cs="Times New Roman" w:eastAsia="Times New Roman" w:hAnsi="Times New Roman"/>
                <w:sz w:val="29"/>
                <w:szCs w:val="29"/>
                <w:color w:val="auto"/>
                <w:vertAlign w:val="superscript"/>
              </w:rPr>
              <w:t>(5)</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2,766</w:t>
            </w:r>
          </w:p>
        </w:tc>
        <w:tc>
          <w:tcPr>
            <w:tcW w:w="80" w:type="dxa"/>
            <w:vAlign w:val="bottom"/>
            <w:shd w:val="clear" w:color="auto" w:fill="CCEEFF"/>
          </w:tcPr>
          <w:p>
            <w:pPr>
              <w:spacing w:after="0"/>
              <w:rPr>
                <w:sz w:val="24"/>
                <w:szCs w:val="24"/>
                <w:color w:val="auto"/>
              </w:rPr>
            </w:pPr>
          </w:p>
        </w:tc>
      </w:tr>
      <w:tr>
        <w:trPr>
          <w:trHeight w:val="210"/>
        </w:trPr>
        <w:tc>
          <w:tcPr>
            <w:tcW w:w="930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purchase consideration</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3,383,935</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9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324" w:hanging="324"/>
        <w:spacing w:after="0" w:line="258" w:lineRule="auto"/>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intangible assets is comprised of an Offtake Agreement. The Offtake Agreement asset is expected to be amortized on a systematic basic using the units of production method. As of the date of the Form 8-K in which these pro forma financial statements are included, delivery pursuant to the Offtake Agreement has not started. Accordingly, amortization of the Offtake Agreement had not commenced as of the pro forma transaction date and no related amortization expense has been reflected in the unaudited pro forma condensed combined statement of operations.</w:t>
      </w:r>
    </w:p>
    <w:p>
      <w:pPr>
        <w:spacing w:after="0" w:line="183" w:lineRule="exact"/>
        <w:rPr>
          <w:rFonts w:ascii="Times New Roman" w:cs="Times New Roman" w:eastAsia="Times New Roman" w:hAnsi="Times New Roman"/>
          <w:sz w:val="18"/>
          <w:szCs w:val="18"/>
          <w:color w:val="auto"/>
        </w:rPr>
      </w:pPr>
    </w:p>
    <w:p>
      <w:pPr>
        <w:ind w:left="324" w:right="500" w:hanging="324"/>
        <w:spacing w:after="0" w:line="282" w:lineRule="auto"/>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reflects an increase in the fair value of the liability for royalty payments due to an increase in estimated future cash payments. The increase in estimated future cash payments is primarily related to the anticipated impact of the Offtake Agreement.</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represents cash consideration paid to SVRE’s shareholders.</w:t>
      </w:r>
    </w:p>
    <w:p>
      <w:pPr>
        <w:spacing w:after="0" w:line="200" w:lineRule="exact"/>
        <w:rPr>
          <w:sz w:val="20"/>
          <w:szCs w:val="20"/>
          <w:color w:val="auto"/>
        </w:rPr>
      </w:pPr>
    </w:p>
    <w:p>
      <w:pPr>
        <w:spacing w:after="0" w:line="241"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4"/>
          </w:cols>
          <w:pgMar w:left="976" w:top="337" w:right="379" w:bottom="1440" w:gutter="0" w:footer="0" w:header="0"/>
        </w:sectPr>
      </w:pPr>
    </w:p>
    <w:bookmarkStart w:id="14" w:name="page15"/>
    <w:bookmarkEnd w:id="14"/>
    <w:p>
      <w:pPr>
        <w:ind w:left="980" w:right="2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consideration is provided in the form of Common Stock of USAR and is calculated as 126,849,307 shares of USAR Common Stock to be issued to SVRE shareholders, multiplied by $24.29, the closing share price of USAR on May 21, 2026.</w:t>
      </w:r>
    </w:p>
    <w:p>
      <w:pPr>
        <w:spacing w:after="0" w:line="161" w:lineRule="exact"/>
        <w:rPr>
          <w:rFonts w:ascii="Times New Roman" w:cs="Times New Roman" w:eastAsia="Times New Roman" w:hAnsi="Times New Roman"/>
          <w:sz w:val="18"/>
          <w:szCs w:val="18"/>
          <w:color w:val="auto"/>
        </w:rPr>
      </w:pPr>
    </w:p>
    <w:p>
      <w:pPr>
        <w:ind w:left="980" w:right="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shows the effect of changes in USAR’s share price and the resulting impact on the estimated purchase consideration, and estimated goodwill:</w:t>
      </w:r>
    </w:p>
    <w:p>
      <w:pPr>
        <w:spacing w:after="0" w:line="158"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6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Purchase</w:t>
            </w:r>
          </w:p>
        </w:tc>
        <w:tc>
          <w:tcPr>
            <w:tcW w:w="120" w:type="dxa"/>
            <w:vAlign w:val="bottom"/>
          </w:tcPr>
          <w:p>
            <w:pPr>
              <w:spacing w:after="0"/>
              <w:rPr>
                <w:sz w:val="18"/>
                <w:szCs w:val="18"/>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Estimated</w:t>
            </w:r>
          </w:p>
        </w:tc>
      </w:tr>
      <w:tr>
        <w:trPr>
          <w:trHeight w:val="216"/>
        </w:trPr>
        <w:tc>
          <w:tcPr>
            <w:tcW w:w="6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9"/>
              </w:rPr>
              <w:t>Consideration</w:t>
            </w:r>
          </w:p>
        </w:tc>
        <w:tc>
          <w:tcPr>
            <w:tcW w:w="12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Goodwill</w:t>
            </w:r>
          </w:p>
        </w:tc>
      </w:tr>
      <w:tr>
        <w:trPr>
          <w:trHeight w:val="245"/>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Change in Share Price of USAR</w:t>
            </w: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Share Price</w:t>
            </w:r>
          </w:p>
        </w:tc>
        <w:tc>
          <w:tcPr>
            <w:tcW w:w="13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16"/>
        </w:trPr>
        <w:tc>
          <w:tcPr>
            <w:tcW w:w="6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of 25%</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4,154,228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2,091,364</w:t>
            </w:r>
          </w:p>
        </w:tc>
        <w:tc>
          <w:tcPr>
            <w:tcW w:w="80" w:type="dxa"/>
            <w:vAlign w:val="bottom"/>
            <w:tcBorders>
              <w:top w:val="single" w:sz="8" w:color="CCEEFF"/>
            </w:tcBorders>
            <w:shd w:val="clear" w:color="auto" w:fill="CCEEFF"/>
          </w:tcPr>
          <w:p>
            <w:pPr>
              <w:spacing w:after="0"/>
              <w:rPr>
                <w:sz w:val="18"/>
                <w:szCs w:val="18"/>
                <w:color w:val="auto"/>
              </w:rPr>
            </w:pPr>
          </w:p>
        </w:tc>
      </w:tr>
      <w:tr>
        <w:trPr>
          <w:trHeight w:val="234"/>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Decrease of 25%</w:t>
            </w:r>
          </w:p>
        </w:tc>
        <w:tc>
          <w:tcPr>
            <w:tcW w:w="34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2,613,642</w:t>
            </w:r>
          </w:p>
        </w:tc>
        <w:tc>
          <w:tcPr>
            <w:tcW w:w="12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550,779</w:t>
            </w:r>
          </w:p>
        </w:tc>
      </w:tr>
    </w:tbl>
    <w:p>
      <w:pPr>
        <w:spacing w:after="0" w:line="179" w:lineRule="exact"/>
        <w:rPr>
          <w:sz w:val="20"/>
          <w:szCs w:val="20"/>
          <w:color w:val="auto"/>
        </w:rPr>
      </w:pPr>
    </w:p>
    <w:p>
      <w:pPr>
        <w:ind w:left="980" w:right="420" w:hanging="324"/>
        <w:spacing w:after="0" w:line="282" w:lineRule="auto"/>
        <w:tabs>
          <w:tab w:leader="none" w:pos="98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reflects the pre-combination expense pertaining to options to purchase SVRE shares subject to performance-vesting conditions (the “Performance-Vesting Options”) which will be substituted with USAR time-vesting restricted stock units.</w:t>
      </w:r>
    </w:p>
    <w:p>
      <w:pPr>
        <w:spacing w:after="0" w:line="161"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impact of nonrecurring expenses related to estimated transaction costs, primarily comprised of investment banking fees, legal fees, issuance costs, accounting and audit fees, and other related advisory costs. No amount was incurred and accrued on the balance sheet as of March 31, 2026. The related income statement adjustment is reflected at adjustment (CC).</w:t>
      </w:r>
    </w:p>
    <w:p>
      <w:pPr>
        <w:spacing w:after="0" w:line="175" w:lineRule="exact"/>
        <w:rPr>
          <w:rFonts w:ascii="Times New Roman" w:cs="Times New Roman" w:eastAsia="Times New Roman" w:hAnsi="Times New Roman"/>
          <w:sz w:val="18"/>
          <w:szCs w:val="18"/>
          <w:color w:val="auto"/>
        </w:rPr>
      </w:pPr>
    </w:p>
    <w:p>
      <w:pPr>
        <w:jc w:val="both"/>
        <w:ind w:left="660" w:right="340" w:hanging="328"/>
        <w:spacing w:after="0" w:line="261" w:lineRule="auto"/>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issuance of USAR’s common stock in an amount of $216 million upon conversion of earnout liabilities of $145 million. The $71 million increase in fair value of the earnout liability between March 31, 2026 and the conversion dates will be recorded as loss on fair market value of financial instruments, net in the Company’s unaudited condensed statement of operations for the three and six months ended June 30, 2026.</w:t>
      </w:r>
    </w:p>
    <w:p>
      <w:pPr>
        <w:spacing w:after="0" w:line="175" w:lineRule="exact"/>
        <w:rPr>
          <w:rFonts w:ascii="Times New Roman" w:cs="Times New Roman" w:eastAsia="Times New Roman" w:hAnsi="Times New Roman"/>
          <w:sz w:val="18"/>
          <w:szCs w:val="18"/>
          <w:color w:val="auto"/>
        </w:rPr>
      </w:pPr>
    </w:p>
    <w:p>
      <w:pPr>
        <w:ind w:right="200" w:firstLine="8"/>
        <w:spacing w:after="0" w:line="286" w:lineRule="auto"/>
        <w:tabs>
          <w:tab w:leader="none" w:pos="1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Adjustments to the Unaudited Pro Forma Condensed Combined Statement of Operations for the three months ended March 31, 2026 and for the year ended December 31, 2025</w:t>
      </w:r>
    </w:p>
    <w:p>
      <w:pPr>
        <w:spacing w:after="0" w:line="159"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adjustments included in the unaudited pro forma condensed combined statement of operations for the three months ended March 31, 2026 and for the year ended December 31, 2025 are as follows: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(AA) Reflects a reclassification adjustment to conform SVRE’s historical expenses to the financial statement presentation of USAR.</w:t>
      </w:r>
    </w:p>
    <w:p>
      <w:pPr>
        <w:spacing w:after="0" w:line="225" w:lineRule="exact"/>
        <w:rPr>
          <w:sz w:val="20"/>
          <w:szCs w:val="20"/>
          <w:color w:val="auto"/>
        </w:rPr>
      </w:pPr>
    </w:p>
    <w:p>
      <w:pPr>
        <w:ind w:left="780" w:right="40" w:hanging="448"/>
        <w:spacing w:after="0" w:line="266" w:lineRule="auto"/>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recognition of nonrecurring expenses related to estimated transaction costs in the amount of $113 million, which are primarily comprised of investment banking fees, legal fees, issuance costs, accounting and audit fees, and other related advisory costs. The related balance sheet adjustment is reflected at adjustment (C).</w:t>
      </w:r>
    </w:p>
    <w:p>
      <w:pPr>
        <w:spacing w:after="0" w:line="175" w:lineRule="exact"/>
        <w:rPr>
          <w:rFonts w:ascii="Times New Roman" w:cs="Times New Roman" w:eastAsia="Times New Roman" w:hAnsi="Times New Roman"/>
          <w:sz w:val="18"/>
          <w:szCs w:val="18"/>
          <w:color w:val="auto"/>
        </w:rPr>
      </w:pPr>
    </w:p>
    <w:p>
      <w:pPr>
        <w:jc w:val="both"/>
        <w:ind w:left="780" w:right="20" w:hanging="448"/>
        <w:spacing w:after="0" w:line="266" w:lineRule="auto"/>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recognition of post-combination stock-based compensation expense in the amount of $1.6 million for the three months ended March 31, 2026 and $11.7 million for the year ended December 31, 2025 related to Performance-Vesting Options which will be substituted with USAR time-vesting restricted stock units.</w:t>
      </w:r>
    </w:p>
    <w:p>
      <w:pPr>
        <w:spacing w:after="0" w:line="175" w:lineRule="exact"/>
        <w:rPr>
          <w:rFonts w:ascii="Times New Roman" w:cs="Times New Roman" w:eastAsia="Times New Roman" w:hAnsi="Times New Roman"/>
          <w:sz w:val="18"/>
          <w:szCs w:val="18"/>
          <w:color w:val="auto"/>
        </w:rPr>
      </w:pPr>
    </w:p>
    <w:p>
      <w:pPr>
        <w:ind w:left="780" w:hanging="448"/>
        <w:spacing w:after="0" w:line="261" w:lineRule="auto"/>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the recognized loss due to the change in fair value of warrant liability in an amount equal to $6.2 million for the three months ended March 31, 2026 and $7.7 million for the year ended December 31, 2025 related to the private placement warrants issued by SVRE to its investors. These warrants will be settled through equity consideration to the holders pursuant to the Merger. The related balance sheet adjustment is reflected in adjustment (B).</w:t>
      </w:r>
    </w:p>
    <w:p>
      <w:pPr>
        <w:spacing w:after="0" w:line="179" w:lineRule="exact"/>
        <w:rPr>
          <w:rFonts w:ascii="Times New Roman" w:cs="Times New Roman" w:eastAsia="Times New Roman" w:hAnsi="Times New Roman"/>
          <w:sz w:val="18"/>
          <w:szCs w:val="18"/>
          <w:color w:val="auto"/>
        </w:rPr>
      </w:pPr>
    </w:p>
    <w:p>
      <w:pPr>
        <w:ind w:left="780" w:right="40" w:hanging="448"/>
        <w:spacing w:after="0" w:line="266" w:lineRule="auto"/>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interest related to Class A Preferred Shares in an amount equal to $2.3 million for the three months ended March 31, 2026 and $4.3 million for the year ended December 31, 2025 due to their redemption pursuant to the side letter agreement, dated March 5, 2026, between SVRE and Orion.</w:t>
      </w:r>
    </w:p>
    <w:p>
      <w:pPr>
        <w:spacing w:after="0" w:line="175" w:lineRule="exact"/>
        <w:rPr>
          <w:rFonts w:ascii="Times New Roman" w:cs="Times New Roman" w:eastAsia="Times New Roman" w:hAnsi="Times New Roman"/>
          <w:sz w:val="18"/>
          <w:szCs w:val="18"/>
          <w:color w:val="auto"/>
        </w:rPr>
      </w:pPr>
    </w:p>
    <w:p>
      <w:pPr>
        <w:ind w:left="780" w:right="160" w:hanging="448"/>
        <w:spacing w:after="0" w:line="258" w:lineRule="auto"/>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estimated interest expense related to long-term debt financing of SVRE pursuant to the Retained Finance Agreement, calculated using an estimated interest rate of Term SOFR plus 4%. This adjustment also includes the amortization of estimated debt discount and debt issuance costs of $0.6 million for the three months ended March 31, 2026 and $2.3 million for the year ended December 31, 2025. An increase or decrease of one-eighth of a percent in the interest rate would not result in a significant change in interest expense for the three months ended March 31, 2026 and for the year ended December 31, 2025.</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5" w:name="page16"/>
    <w:bookmarkEnd w:id="15"/>
    <w:p>
      <w:pPr>
        <w:ind w:left="780" w:right="200" w:hanging="448"/>
        <w:spacing w:after="0" w:line="282" w:lineRule="auto"/>
        <w:tabs>
          <w:tab w:leader="none" w:pos="7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interest related to the OMF Credit Agreement in an amount equal to $1.5 million for the three months ended March 31, 2026 and $0.7 million for the year ended December 31, 2025 due to their repayment.</w:t>
      </w:r>
    </w:p>
    <w:p>
      <w:pPr>
        <w:spacing w:after="0" w:line="157"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Unaudited Pro Forma Net Loss Per Share</w:t>
      </w:r>
    </w:p>
    <w:p>
      <w:pPr>
        <w:spacing w:after="0" w:line="229"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pro forma net loss per share calculations have been performed for the three months ended March 31, 2026 and for the year ended December 31, 2025, assuming the Pro Forma Transactions had been consummated on January 1,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For the Three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100" w:type="dxa"/>
            <w:vAlign w:val="bottom"/>
          </w:tcPr>
          <w:p>
            <w:pPr>
              <w:spacing w:after="0"/>
              <w:rPr>
                <w:sz w:val="18"/>
                <w:szCs w:val="18"/>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 the</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00" w:type="dxa"/>
            <w:vAlign w:val="bottom"/>
          </w:tcPr>
          <w:p>
            <w:pPr>
              <w:spacing w:after="0"/>
              <w:rPr>
                <w:sz w:val="18"/>
                <w:szCs w:val="18"/>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tc>
        <w:tc>
          <w:tcPr>
            <w:tcW w:w="120" w:type="dxa"/>
            <w:vAlign w:val="bottom"/>
          </w:tcPr>
          <w:p>
            <w:pPr>
              <w:spacing w:after="0"/>
              <w:rPr>
                <w:sz w:val="21"/>
                <w:szCs w:val="21"/>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8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loss attributable to USA Rare Earth, Inc.</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(75,082)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(460,109)</w:t>
            </w: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Declared and deemed dividends, and interest accretion</w:t>
            </w:r>
          </w:p>
        </w:tc>
        <w:tc>
          <w:tcPr>
            <w:tcW w:w="120" w:type="dxa"/>
            <w:vAlign w:val="bottom"/>
          </w:tcPr>
          <w:p>
            <w:pPr>
              <w:spacing w:after="0"/>
              <w:rPr>
                <w:sz w:val="20"/>
                <w:szCs w:val="20"/>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tcPr>
          <w:p>
            <w:pPr>
              <w:spacing w:after="0"/>
              <w:rPr>
                <w:sz w:val="20"/>
                <w:szCs w:val="20"/>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(26,594)</w:t>
            </w:r>
          </w:p>
        </w:tc>
      </w:tr>
      <w:tr>
        <w:trPr>
          <w:trHeight w:val="223"/>
        </w:trPr>
        <w:tc>
          <w:tcPr>
            <w:tcW w:w="8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undistributed net loss attributable to USA Rare Earth, Inc.</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(75,791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(486,703</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USAR pro forma weighted average number of common shares outstanding-basic</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196,479</w:t>
            </w: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98,021</w:t>
            </w:r>
          </w:p>
        </w:tc>
        <w:tc>
          <w:tcPr>
            <w:tcW w:w="8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Shares to be issued to SVRE shareholders in a Merger</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126,849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126,849</w:t>
            </w:r>
          </w:p>
        </w:tc>
        <w:tc>
          <w:tcPr>
            <w:tcW w:w="80" w:type="dxa"/>
            <w:vAlign w:val="bottom"/>
            <w:shd w:val="clear" w:color="auto" w:fill="CCEEFF"/>
          </w:tcPr>
          <w:p>
            <w:pPr>
              <w:spacing w:after="0"/>
              <w:rPr>
                <w:sz w:val="18"/>
                <w:szCs w:val="18"/>
                <w:color w:val="auto"/>
              </w:rPr>
            </w:pPr>
          </w:p>
        </w:tc>
      </w:tr>
      <w:tr>
        <w:trPr>
          <w:trHeight w:val="257"/>
        </w:trPr>
        <w:tc>
          <w:tcPr>
            <w:tcW w:w="86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Add: Shares to be issued in a private placement </w:t>
            </w:r>
            <w:r>
              <w:rPr>
                <w:rFonts w:ascii="Times New Roman" w:cs="Times New Roman" w:eastAsia="Times New Roman" w:hAnsi="Times New Roman"/>
                <w:sz w:val="29"/>
                <w:szCs w:val="29"/>
                <w:color w:val="auto"/>
                <w:vertAlign w:val="superscript"/>
              </w:rPr>
              <w:t>(*)</w:t>
            </w:r>
          </w:p>
        </w:tc>
        <w:tc>
          <w:tcPr>
            <w:tcW w:w="120" w:type="dxa"/>
            <w:vAlign w:val="bottom"/>
          </w:tcPr>
          <w:p>
            <w:pPr>
              <w:spacing w:after="0"/>
              <w:rPr>
                <w:sz w:val="22"/>
                <w:szCs w:val="22"/>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69,767</w:t>
            </w:r>
          </w:p>
        </w:tc>
        <w:tc>
          <w:tcPr>
            <w:tcW w:w="80" w:type="dxa"/>
            <w:vAlign w:val="bottom"/>
          </w:tcPr>
          <w:p>
            <w:pPr>
              <w:spacing w:after="0"/>
              <w:rPr>
                <w:sz w:val="22"/>
                <w:szCs w:val="22"/>
                <w:color w:val="auto"/>
              </w:rPr>
            </w:pPr>
          </w:p>
        </w:tc>
      </w:tr>
      <w:tr>
        <w:trPr>
          <w:trHeight w:val="25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Shares to be issued for earnout payments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10,100</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Pro forma weighted average shares of common stock outstanding - basic &amp; diluted</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333,428</w:t>
            </w:r>
          </w:p>
        </w:tc>
        <w:tc>
          <w:tcPr>
            <w:tcW w:w="2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294,638</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43"/>
        </w:trPr>
        <w:tc>
          <w:tcPr>
            <w:tcW w:w="8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 forma net loss per share - basic &amp; diluted</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(1.65)</w:t>
            </w:r>
          </w:p>
        </w:tc>
      </w:tr>
      <w:tr>
        <w:trPr>
          <w:trHeight w:val="21"/>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right="18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to be issued in a private placement for the three months ended March 31, 2026 are already reflected in the historical unaudited condensed consolidated financial statements of USAR and therefore are not reflected separately.</w:t>
      </w:r>
    </w:p>
    <w:p>
      <w:pPr>
        <w:spacing w:after="0" w:line="162"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The Company’s potentially dilutive outstanding securities were excluded from the computation of pro forma diluted net loss per share because their effect would have been anti-dilutive.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upperLetter"/>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4"/>
    </w:lvl>
  </w:abstractNum>
  <w:abstractNum w:abstractNumId="7">
    <w:nsid w:val="1F16E9E8"/>
    <w:multiLevelType w:val="hybridMultilevel"/>
    <w:lvl w:ilvl="0">
      <w:lvlJc w:val="left"/>
      <w:lvlText w:val="%1"/>
      <w:numFmt w:val="decimal"/>
      <w:start w:val="1"/>
    </w:lvl>
    <w:lvl w:ilvl="1">
      <w:lvlJc w:val="left"/>
      <w:lvlText w:val="%2"/>
      <w:numFmt w:val="upperLetter"/>
      <w:start w:val="1"/>
    </w:lvl>
    <w:lvl w:ilvl="2">
      <w:lvlJc w:val="left"/>
      <w:lvlText w:val="(%3)"/>
      <w:numFmt w:val="decimal"/>
      <w:start w:val="5"/>
    </w:lvl>
  </w:abstractNum>
  <w:abstractNum w:abstractNumId="8">
    <w:nsid w:val="1190CDE7"/>
    <w:multiLevelType w:val="hybridMultilevel"/>
    <w:lvl w:ilvl="0">
      <w:lvlJc w:val="left"/>
      <w:lvlText w:val="%1"/>
      <w:numFmt w:val="decimal"/>
      <w:start w:val="1"/>
    </w:lvl>
    <w:lvl w:ilvl="1">
      <w:lvlJc w:val="left"/>
      <w:lvlText w:val="(%2)"/>
      <w:numFmt w:val="upperLetter"/>
      <w:start w:val="3"/>
    </w:lvl>
    <w:lvl w:ilvl="2">
      <w:lvlJc w:val="left"/>
      <w:lvlText w:val="%3"/>
      <w:numFmt w:val="decimal"/>
      <w:start w:val="1"/>
    </w:lvl>
  </w:abstractNum>
  <w:abstractNum w:abstractNumId="9">
    <w:nsid w:val="66EF438D"/>
    <w:multiLevelType w:val="hybridMultilevel"/>
    <w:lvl w:ilvl="0">
      <w:lvlJc w:val="left"/>
      <w:lvlText w:val="%1."/>
      <w:numFmt w:val="decimal"/>
      <w:start w:val="3"/>
    </w:lvl>
    <w:lvl w:ilvl="1">
      <w:lvlJc w:val="left"/>
      <w:lvlText w:val="%2"/>
      <w:numFmt w:val="upperLetter"/>
      <w:start w:val="1"/>
    </w:lvl>
    <w:lvl w:ilvl="2">
      <w:lvlJc w:val="left"/>
      <w:lvlText w:val="%3"/>
      <w:numFmt w:val="decimal"/>
      <w:start w:val="1"/>
    </w:lvl>
  </w:abstractNum>
  <w:abstractNum w:abstractNumId="10">
    <w:nsid w:val="140E0F76"/>
    <w:multiLevelType w:val="hybridMultilevel"/>
    <w:lvl w:ilvl="0">
      <w:lvlJc w:val="left"/>
      <w:lvlText w:val="(%1)"/>
      <w:numFmt w:val="upperLetter"/>
      <w:start w:val="29"/>
    </w:lvl>
  </w:abstractNum>
  <w:abstractNum w:abstractNumId="11">
    <w:nsid w:val="3352255A"/>
    <w:multiLevelType w:val="hybridMultilevel"/>
    <w:lvl w:ilvl="0">
      <w:lvlJc w:val="left"/>
      <w:lvlText w:val="%1"/>
      <w:numFmt w:val="decimal"/>
      <w:start w:val="1"/>
    </w:lvl>
    <w:lvl w:ilvl="1">
      <w:lvlJc w:val="left"/>
      <w:lvlText w:val="(%2)"/>
      <w:numFmt w:val="upperLetter"/>
      <w:start w:val="34"/>
    </w:lvl>
  </w:abstractNum>
  <w:abstractNum w:abstractNumId="12">
    <w:nsid w:val="109CF92E"/>
    <w:multiLevelType w:val="hybridMultilevel"/>
    <w:lvl w:ilvl="0">
      <w:lvlJc w:val="left"/>
      <w:lvlText w:val="%1."/>
      <w:numFmt w:val="decimal"/>
      <w:start w:val="4"/>
    </w:lvl>
    <w:lvl w:ilvl="1">
      <w:lvlJc w:val="left"/>
      <w:lvlText w:val="%2"/>
      <w:numFmt w:val="upperLetter"/>
      <w:start w:val="1"/>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2026-06-05T06:57:43Z</dcterms:created>
  <dcterms:modified xsi:type="dcterms:W3CDTF">2026-06-05T06:57:43Z</dcterms:modified>
</cp:coreProperties>
</file>