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USA Rare Earth,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EMG Fund V SVRE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29,223,081.00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29,223,081.00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29,223,081.00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Energy &amp; Minerals Group Fund V,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29,223,081.00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29,223,081.00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29,223,081.00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EMG Fund V Offshore,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29,223,081.00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29,223,081.00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29,223,081.00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Energy &amp; Minerals Group Fund V Accordion,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29,223,081.00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29,223,081.00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29,223,081.00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EMG Fund V Accordion Offshore,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29,223,081.00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29,223,081.00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29,223,081.00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T. Raymond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29,223,081.00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29,223,081.00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29,223,081.00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USA Rare Earth,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W. Airport Road, Stillwater, OK 74075</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EMG Fund V SVRE Holdings, LLC The Energy &amp; Minerals Group Fund V, LP EMG Fund V Offshore, LP The Energy &amp; Minerals Group Fund V Accordion, LP EMG Fund V Accordion Offshore, LP John T. Raymond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2229 San Felipe St., Suite 1300 Houston, Texas 77019.</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Mr. Raymond is a citizen of the United States. Each of the remaining Reporting Persons are organized under the laws of Delaware.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to this Schedule 13G is incorporated by reference into this Item 4. The ownership information presented below represents beneficial ownership of Common Stock of the Issuer as of the date of this filing, based upon 375,076,567 shares of Common Stock outstanding as of September 3, 2026, as disclosed in the Issuer's Registration Statement on Form S-3 filed with the Securities and Exchange Commission on September 4, 2026. The Common Stock reported herein is held directly by EMG Fund V SVRE Holdings, LLC. The Energy &amp; Minerals Group Fund V, LP, EMG Fund V Offshore, LP, The Energy &amp; Minerals Group Fund V Accordion, LP and EMG Fund V Accordion Offshore, LP own, directly, or indirectly, 100% of the membership interests in EMG Fund V SVRE Holdings, LLC. John T. Raymond, the 100% owner of the general partner of the general partner of each of The Energy &amp; Minerals Group Fund V, LP, EMG Fund V Offshore, LP, The Energy &amp; Minerals Group Fund V Accordion, LP and EMG Fund V Accordion Offshore, LP, has sole voting and dispositive power with respect to the Common Stock held by EMG Fund V SVRE Holdings, LLC. Mr. Raymond disclaims beneficial ownership of the Common Stock held by EMG Fund V SVRE Holdings, LLC, except to the extent of his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information contained on the cover pages to this Schedule 13G.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information contained on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information contained on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information contained on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information contained on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EMG Fund V SVRE Holdings, LLC</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Laura Tyson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Laura Tyson, Chief Operating Officer and General Counsel</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8912" w:type="dxa"/>
        <w:jc w:val="left"/>
        <w:tblInd w:w="0" w:type="dxa"/>
        <w:tblLayout w:type="fixed"/>
        <w:tblCellMar>
          <w:top w:w="28" w:type="dxa"/>
          <w:left w:w="28" w:type="dxa"/>
          <w:bottom w:w="28" w:type="dxa"/>
          <w:right w:w="28" w:type="dxa"/>
        </w:tblCellMar>
      </w:tblPr>
      <w:tblGrid>
        <w:gridCol w:w="4456"/>
        <w:gridCol w:w="4456"/>
      </w:tblGrid>
      <w:tr>
        <w:trPr/>
        <w:tc>
          <w:tcPr>
            <w:tcW w:w="4456" w:type="dxa"/>
            <w:tcBorders/>
            <w:vAlign w:val="center"/>
          </w:tcPr>
          <w:p>
            <w:pPr>
              <w:pStyle w:val="TableContents"/>
              <w:bidi w:val="0"/>
              <w:spacing w:before="0" w:after="0"/>
              <w:jc w:val="left"/>
              <w:rPr/>
            </w:pPr>
            <w:r>
              <w:rPr/>
              <w:t> </w:t>
            </w:r>
          </w:p>
          <w:tbl>
            <w:tblPr>
              <w:tblW w:w="4291" w:type="dxa"/>
              <w:jc w:val="left"/>
              <w:tblInd w:w="0" w:type="dxa"/>
              <w:tblLayout w:type="fixed"/>
              <w:tblCellMar>
                <w:top w:w="28" w:type="dxa"/>
                <w:left w:w="28" w:type="dxa"/>
                <w:bottom w:w="28" w:type="dxa"/>
                <w:right w:w="28" w:type="dxa"/>
              </w:tblCellMar>
            </w:tblPr>
            <w:tblGrid>
              <w:gridCol w:w="4291"/>
            </w:tblGrid>
            <w:tr>
              <w:trPr/>
              <w:tc>
                <w:tcPr>
                  <w:tcW w:w="4291" w:type="dxa"/>
                  <w:tcBorders/>
                  <w:vAlign w:val="center"/>
                </w:tcPr>
                <w:p>
                  <w:pPr>
                    <w:pStyle w:val="TableContents"/>
                    <w:bidi w:val="0"/>
                    <w:spacing w:before="0" w:after="0"/>
                    <w:jc w:val="left"/>
                    <w:rPr/>
                  </w:pPr>
                  <w:r>
                    <w:rPr/>
                    <w:t>The Energy &amp; Minerals Group Fund V, LP</w:t>
                  </w:r>
                </w:p>
              </w:tc>
            </w:tr>
          </w:tbl>
          <w:p>
            <w:pPr>
              <w:pStyle w:val="TableContents"/>
              <w:bidi w:val="0"/>
              <w:spacing w:before="0" w:after="283"/>
              <w:jc w:val="left"/>
              <w:rPr/>
            </w:pPr>
            <w:r>
              <w:rPr/>
            </w:r>
          </w:p>
        </w:tc>
        <w:tc>
          <w:tcPr>
            <w:tcW w:w="44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EMG Fund V GP, LP, its general partner, By: EMG Fund V, LLC, its general partner, /s/ Laura Tyson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Laura Tyson, Chief Operating Officer and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EMG Fund V Offshore, LP</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EMG Fund V GP, LP, its general partner, By: EMG Fund V, LLC, its general partner, /s/ Laura Tyson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Laura Tyson, Chief Operating Officer and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1"/>
        <w:gridCol w:w="5054"/>
      </w:tblGrid>
      <w:tr>
        <w:trPr/>
        <w:tc>
          <w:tcPr>
            <w:tcW w:w="5151" w:type="dxa"/>
            <w:tcBorders/>
            <w:vAlign w:val="center"/>
          </w:tcPr>
          <w:p>
            <w:pPr>
              <w:pStyle w:val="TableContents"/>
              <w:bidi w:val="0"/>
              <w:spacing w:before="0" w:after="0"/>
              <w:jc w:val="left"/>
              <w:rPr/>
            </w:pPr>
            <w:r>
              <w:rPr/>
              <w:t> </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0"/>
                    <w:jc w:val="left"/>
                    <w:rPr/>
                  </w:pPr>
                  <w:r>
                    <w:rPr/>
                    <w:t>The Energy &amp; Minerals Group Fund V Accordion, LP</w:t>
                  </w:r>
                </w:p>
              </w:tc>
            </w:tr>
          </w:tbl>
          <w:p>
            <w:pPr>
              <w:pStyle w:val="TableContents"/>
              <w:bidi w:val="0"/>
              <w:spacing w:before="0" w:after="283"/>
              <w:jc w:val="left"/>
              <w:rPr/>
            </w:pPr>
            <w:r>
              <w:rPr/>
            </w:r>
          </w:p>
        </w:tc>
        <w:tc>
          <w:tcPr>
            <w:tcW w:w="50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EMG Fund V GP, LP, its general partner, By: EMG Fund V, LLC, its general partner, /s/ Laura Tyson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Laura Tyson, Chief Operating Officer and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EMG Fund V Accordion Offshore, LP</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EMG Fund V GP, LP, its general partner, By: EMG Fund V, LLC, its general partner, /s/ Laura Tyson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Laura Tyson, Chief Operating Officer and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John T. Raymond</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John T. Raymond</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John T. Raymond</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center"/>
              <w:rPr>
                <w:b/>
              </w:rPr>
            </w:pPr>
            <w:r>
              <w:rPr>
                <w:b/>
              </w:rPr>
              <w:t xml:space="preserve">Exhibit Information </w:t>
            </w:r>
          </w:p>
        </w:tc>
      </w:tr>
      <w:tr>
        <w:trPr/>
        <w:tc>
          <w:tcPr>
            <w:tcW w:w="3451" w:type="dxa"/>
            <w:tcBorders/>
            <w:vAlign w:val="center"/>
          </w:tcPr>
          <w:p>
            <w:pPr>
              <w:pStyle w:val="TableContents"/>
              <w:bidi w:val="0"/>
              <w:spacing w:before="0" w:after="283"/>
              <w:jc w:val="left"/>
              <w:rPr/>
            </w:pPr>
            <w:r>
              <w:rPr/>
              <w:t>Exhibit 99: Joint Filing Agreement</w:t>
            </w:r>
          </w:p>
        </w:tc>
      </w:tr>
    </w:tbl>
    <w:p>
      <w:pPr>
        <w:pStyle w:val="TextBody"/>
        <w:bidi w:val="0"/>
        <w:spacing w:before="0" w:after="0"/>
        <w:ind w:left="0" w:right="0" w:hanging="0"/>
        <w:jc w:val="left"/>
        <w:rPr>
          <w:caps w:val="false"/>
          <w:smallCaps w:val="false"/>
        </w:rPr>
      </w:pPr>
      <w:bookmarkStart w:id="36" w:name="ex99.htm"/>
      <w:bookmarkStart w:id="37" w:name="ksex99"/>
      <w:bookmarkEnd w:id="36"/>
      <w:bookmarkEnd w:id="3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Joint Filing Agreement as of September 11, 2026.</w:t>
      </w:r>
    </w:p>
    <w:p>
      <w:pPr>
        <w:pStyle w:val="TextBody"/>
        <w:bidi w:val="0"/>
        <w:spacing w:before="0" w:after="0"/>
        <w:ind w:left="0" w:right="0" w:firstLine="709"/>
        <w:jc w:val="left"/>
        <w:rPr>
          <w:caps w:val="false"/>
          <w:smallCaps w:val="false"/>
        </w:rPr>
      </w:pPr>
      <w:r>
        <w:rPr>
          <w:caps w:val="false"/>
          <w:smallCaps w:val="false"/>
        </w:rPr>
        <w:t> </w:t>
      </w:r>
    </w:p>
    <w:tbl>
      <w:tblPr>
        <w:tblW w:w="4669" w:type="dxa"/>
        <w:jc w:val="left"/>
        <w:tblInd w:w="0" w:type="dxa"/>
        <w:tblLayout w:type="fixed"/>
        <w:tblCellMar>
          <w:top w:w="0" w:type="dxa"/>
          <w:left w:w="0" w:type="dxa"/>
          <w:bottom w:w="0" w:type="dxa"/>
          <w:right w:w="0" w:type="dxa"/>
        </w:tblCellMar>
      </w:tblPr>
      <w:tblGrid>
        <w:gridCol w:w="75"/>
        <w:gridCol w:w="414"/>
        <w:gridCol w:w="4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EMG Fund V SVRE Holdings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Laura Tyson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Tyson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and General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Energy &amp; Minerals Group Fund V,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EMG Fund V GP, LP,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EMG Fund V,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Laura Tyson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Tyson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and General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EMG Fund V Offshore,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EMG Fund V GP, LP,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EMG Fund V,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Laura Tyson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Tyson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and General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Energy &amp; Minerals Group Fund V Accordion,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sz w:val="4"/>
                <w:szCs w:val="4"/>
              </w:rPr>
            </w:pPr>
            <w:r>
              <w:rPr>
                <w:sz w:val="4"/>
                <w:szCs w:val="4"/>
              </w:rPr>
            </w:r>
          </w:p>
        </w:tc>
        <w:tc>
          <w:tcPr>
            <w:tcW w:w="4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EMG Fund V GP, LP,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EMG Fund V,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Laura Tyson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Tyson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and General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EMG Fund V Accordion Offshore,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EMG Fund V GP, LP,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EMG Fund V,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Laura Tyson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Tyson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and General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9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T. Raymond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T. Raymond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2150</Words>
  <Characters>10789</Characters>
  <CharactersWithSpaces>12878</CharactersWithSpaces>
  <Paragraphs>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